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600"/>
      </w:pPr>
      <w:r>
        <w:rPr>
          <w:b/>
          <w:bCs/>
          <w:color w:val="0B2545"/>
          <w:sz w:val="26"/>
          <w:szCs w:val="26"/>
        </w:rPr>
        <w:t xml:space="preserve"/>
      </w:r>
      <w:r>
        <w:rPr>
          <w:color w:val="5A6472"/>
          <w:sz w:val="18"/>
          <w:szCs w:val="18"/>
        </w:rPr>
        <w:t xml:space="preserve">YAPAY ZEKA UYUM VE YÖNETİŞİM</w:t>
      </w:r>
    </w:p>
    <w:p>
      <w:pPr>
        <w:pBdr>
          <w:bottom w:val="single" w:color="B3122E" w:sz="16" w:space="4"/>
        </w:pBdr>
        <w:spacing w:after="300"/>
      </w:pPr>
    </w:p>
    <w:p>
      <w:pPr>
        <w:spacing w:after="100"/>
      </w:pPr>
      <w:r>
        <w:rPr>
          <w:b/>
          <w:bCs/>
          <w:color w:val="B3122E"/>
          <w:sz w:val="18"/>
          <w:szCs w:val="18"/>
        </w:rPr>
        <w:t xml:space="preserve">AIA-00</w:t>
      </w:r>
    </w:p>
    <w:p>
      <w:pPr>
        <w:spacing w:after="100"/>
      </w:pPr>
      <w:r>
        <w:rPr>
          <w:b/>
          <w:bCs/>
          <w:color w:val="0B2545"/>
          <w:sz w:val="40"/>
          <w:szCs w:val="40"/>
        </w:rPr>
        <w:t xml:space="preserve">Başlangıç Kılavuzu</w:t>
      </w:r>
    </w:p>
    <w:p>
      <w:pPr>
        <w:spacing w:after="400"/>
      </w:pPr>
      <w:r>
        <w:rPr>
          <w:color w:val="5A6472"/>
          <w:sz w:val="22"/>
          <w:szCs w:val="22"/>
        </w:rPr>
        <w:t xml:space="preserve">Madde 50 Uyum Kiti — 90 dakikada uygulama sırası</w:t>
      </w:r>
    </w:p>
    <w:p>
      <w:pPr>
        <w:pStyle w:val="Heading1"/>
      </w:pPr>
      <w:r>
        <w:t xml:space="preserve">Bu kit ne için var</w:t>
      </w:r>
    </w:p>
    <w:p>
      <w:pPr>
        <w:jc w:val="both"/>
      </w:pPr>
      <w:r>
        <w:t xml:space="preserve">AB Yapay Zeka Tüzüğü’nün (Regulation (EU) 2024/1689) 50. maddesindeki şeffaflık yükümlülükleri 2 Ağustos 2026 itibarıyla uygulanmaktadır. Digital Omnibus düzenlemesi yalnızca yüksek riskli sistemlere ilişkin yükümlülükleri 2 Aralık 2027’ye ertelemiş; 50. maddeyi ertelememiştir.</w:t>
      </w:r>
    </w:p>
    <w:p>
      <w:pPr>
        <w:jc w:val="both"/>
      </w:pPr>
      <w:r>
        <w:t xml:space="preserve">Bu kit, AB’ye ürün veya hizmet satan bir şirketin 50. madde kapsamındaki durumunu tespit etmesi, gerekli ifşa metinlerini yayına alması, iç politikalarını oluşturması ve bunları denetimde sunulabilecek biçimde kayıt altına alması için gereken altı belgeyi içerir.</w:t>
      </w:r>
    </w:p>
    <w:p>
      <w:pPr>
        <w:spacing w:after="120"/>
      </w:pP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9020"/>
      </w:tblGrid>
      <w:tr>
        <w:tc>
          <w:tcPr>
            <w:tcW w:type="dxa" w:w="9020"/>
            <w:tcBorders>
              <w:top w:val="none"/>
              <w:left w:val="single" w:color="5A6472" w:sz="24"/>
              <w:bottom w:val="none"/>
              <w:right w:val="none"/>
            </w:tcBorders>
            <w:shd w:fill="F7F7F9" w:val="clear"/>
            <w:tcMar>
              <w:top w:type="dxa" w:w="160"/>
              <w:left w:type="dxa" w:w="200"/>
              <w:bottom w:type="dxa" w:w="160"/>
              <w:right w:type="dxa" w:w="200"/>
            </w:tcMar>
          </w:tcPr>
          <w:p>
            <w:pPr>
              <w:jc w:val="both"/>
            </w:pPr>
            <w:r>
              <w:rPr>
                <w:b/>
                <w:bCs/>
                <w:i w:val="false"/>
                <w:iCs w:val="false"/>
              </w:rPr>
              <w:t xml:space="preserve">Bu kit neyi kapsamaz. </w:t>
            </w:r>
            <w:r>
              <w:rPr>
                <w:b w:val="false"/>
                <w:bCs w:val="false"/>
                <w:i w:val="false"/>
                <w:iCs w:val="false"/>
              </w:rPr>
              <w:t xml:space="preserve">Yüksek riskli sistemler için uygunluk değerlendirmesi, teknik dokümantasyon ve CE işaretlemesi süreçleri (Tüzük Bölüm III) bu kitin kapsamı dışındadır. Aynı şekilde genel amaçlı yapay zeka modeli sağlayıcılarının Bölüm V kapsamındaki yükümlülükleri de kapsam dışıdır.</w:t>
            </w:r>
          </w:p>
        </w:tc>
      </w:tr>
    </w:tbl>
    <w:p>
      <w:pPr>
        <w:pStyle w:val="Heading1"/>
      </w:pPr>
      <w:r>
        <w:t xml:space="preserve">90 dakikalık uygulama sırası</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722"/>
        <w:gridCol w:w="2345"/>
        <w:gridCol w:w="4690"/>
        <w:gridCol w:w="1263"/>
      </w:tblGrid>
      <w:tr>
        <w:trPr>
          <w:tblHeader/>
        </w:trPr>
        <w:tc>
          <w:tcPr>
            <w:tcW w:type="dxa" w:w="722"/>
            <w:shd w:fill="0B2545" w:val="clear"/>
            <w:tcMar>
              <w:top w:type="dxa" w:w="90"/>
              <w:left w:type="dxa" w:w="120"/>
              <w:bottom w:type="dxa" w:w="90"/>
              <w:right w:type="dxa" w:w="120"/>
            </w:tcMar>
          </w:tcPr>
          <w:p>
            <w:pPr>
              <w:spacing w:after="20"/>
              <w:jc w:val="left"/>
            </w:pPr>
            <w:r>
              <w:rPr>
                <w:b/>
                <w:bCs/>
                <w:color w:val="FFFFFF"/>
                <w:sz w:val="18"/>
                <w:szCs w:val="18"/>
              </w:rPr>
              <w:t xml:space="preserve">Sıra</w:t>
            </w:r>
          </w:p>
        </w:tc>
        <w:tc>
          <w:tcPr>
            <w:tcW w:type="dxa" w:w="2345"/>
            <w:shd w:fill="0B2545" w:val="clear"/>
            <w:tcMar>
              <w:top w:type="dxa" w:w="90"/>
              <w:left w:type="dxa" w:w="120"/>
              <w:bottom w:type="dxa" w:w="90"/>
              <w:right w:type="dxa" w:w="120"/>
            </w:tcMar>
          </w:tcPr>
          <w:p>
            <w:pPr>
              <w:spacing w:after="20"/>
              <w:jc w:val="left"/>
            </w:pPr>
            <w:r>
              <w:rPr>
                <w:b/>
                <w:bCs/>
                <w:color w:val="FFFFFF"/>
                <w:sz w:val="18"/>
                <w:szCs w:val="18"/>
              </w:rPr>
              <w:t xml:space="preserve">Belge</w:t>
            </w:r>
          </w:p>
        </w:tc>
        <w:tc>
          <w:tcPr>
            <w:tcW w:type="dxa" w:w="4690"/>
            <w:shd w:fill="0B2545" w:val="clear"/>
            <w:tcMar>
              <w:top w:type="dxa" w:w="90"/>
              <w:left w:type="dxa" w:w="120"/>
              <w:bottom w:type="dxa" w:w="90"/>
              <w:right w:type="dxa" w:w="120"/>
            </w:tcMar>
          </w:tcPr>
          <w:p>
            <w:pPr>
              <w:spacing w:after="20"/>
              <w:jc w:val="left"/>
            </w:pPr>
            <w:r>
              <w:rPr>
                <w:b/>
                <w:bCs/>
                <w:color w:val="FFFFFF"/>
                <w:sz w:val="18"/>
                <w:szCs w:val="18"/>
              </w:rPr>
              <w:t xml:space="preserve">Ne yapılır</w:t>
            </w:r>
          </w:p>
        </w:tc>
        <w:tc>
          <w:tcPr>
            <w:tcW w:type="dxa" w:w="1263"/>
            <w:shd w:fill="0B2545" w:val="clear"/>
            <w:tcMar>
              <w:top w:type="dxa" w:w="90"/>
              <w:left w:type="dxa" w:w="120"/>
              <w:bottom w:type="dxa" w:w="90"/>
              <w:right w:type="dxa" w:w="120"/>
            </w:tcMar>
          </w:tcPr>
          <w:p>
            <w:pPr>
              <w:spacing w:after="20"/>
              <w:jc w:val="left"/>
            </w:pPr>
            <w:r>
              <w:rPr>
                <w:b/>
                <w:bCs/>
                <w:color w:val="FFFFFF"/>
                <w:sz w:val="18"/>
                <w:szCs w:val="18"/>
              </w:rPr>
              <w:t xml:space="preserve">Süre</w:t>
            </w:r>
          </w:p>
        </w:tc>
      </w:tr>
      <w:tr>
        <w:tc>
          <w:tcPr>
            <w:tcW w:type="dxa" w:w="722"/>
            <w:shd w:fill="FFFFFF" w:val="clear"/>
            <w:tcMar>
              <w:top w:type="dxa" w:w="90"/>
              <w:left w:type="dxa" w:w="120"/>
              <w:bottom w:type="dxa" w:w="90"/>
              <w:right w:type="dxa" w:w="120"/>
            </w:tcMar>
          </w:tcPr>
          <w:p>
            <w:pPr>
              <w:spacing w:after="20"/>
              <w:jc w:val="left"/>
            </w:pPr>
            <w:r>
              <w:rPr>
                <w:b w:val="false"/>
                <w:bCs w:val="false"/>
                <w:color w:val="1A1A1A"/>
                <w:sz w:val="18"/>
                <w:szCs w:val="18"/>
              </w:rPr>
              <w:t xml:space="preserve">1</w:t>
            </w:r>
          </w:p>
        </w:tc>
        <w:tc>
          <w:tcPr>
            <w:tcW w:type="dxa" w:w="2345"/>
            <w:shd w:fill="FFFFFF" w:val="clear"/>
            <w:tcMar>
              <w:top w:type="dxa" w:w="90"/>
              <w:left w:type="dxa" w:w="120"/>
              <w:bottom w:type="dxa" w:w="90"/>
              <w:right w:type="dxa" w:w="120"/>
            </w:tcMar>
          </w:tcPr>
          <w:p>
            <w:pPr>
              <w:spacing w:after="20"/>
              <w:jc w:val="left"/>
            </w:pPr>
            <w:r>
              <w:rPr>
                <w:b w:val="false"/>
                <w:bCs w:val="false"/>
                <w:color w:val="1A1A1A"/>
                <w:sz w:val="18"/>
                <w:szCs w:val="18"/>
              </w:rPr>
              <w:t xml:space="preserve">01 — Uygunluk Testi</w:t>
            </w:r>
          </w:p>
        </w:tc>
        <w:tc>
          <w:tcPr>
            <w:tcW w:type="dxa" w:w="4690"/>
            <w:shd w:fill="FFFFFF" w:val="clear"/>
            <w:tcMar>
              <w:top w:type="dxa" w:w="90"/>
              <w:left w:type="dxa" w:w="120"/>
              <w:bottom w:type="dxa" w:w="90"/>
              <w:right w:type="dxa" w:w="120"/>
            </w:tcMar>
          </w:tcPr>
          <w:p>
            <w:pPr>
              <w:spacing w:after="20"/>
              <w:jc w:val="left"/>
            </w:pPr>
            <w:r>
              <w:rPr>
                <w:b w:val="false"/>
                <w:bCs w:val="false"/>
                <w:color w:val="1A1A1A"/>
                <w:sz w:val="18"/>
                <w:szCs w:val="18"/>
              </w:rPr>
              <w:t xml:space="preserve">Bölüm A, B ve C’yi sırayla doldurun. Sonuç matrisinden hangi belgelerin sizi ilgilendirdiğini çıkarın.</w:t>
            </w:r>
          </w:p>
        </w:tc>
        <w:tc>
          <w:tcPr>
            <w:tcW w:type="dxa" w:w="1263"/>
            <w:shd w:fill="FFFFFF" w:val="clear"/>
            <w:tcMar>
              <w:top w:type="dxa" w:w="90"/>
              <w:left w:type="dxa" w:w="120"/>
              <w:bottom w:type="dxa" w:w="90"/>
              <w:right w:type="dxa" w:w="120"/>
            </w:tcMar>
          </w:tcPr>
          <w:p>
            <w:pPr>
              <w:spacing w:after="20"/>
              <w:jc w:val="left"/>
            </w:pPr>
            <w:r>
              <w:rPr>
                <w:b w:val="false"/>
                <w:bCs w:val="false"/>
                <w:color w:val="1A1A1A"/>
                <w:sz w:val="18"/>
                <w:szCs w:val="18"/>
              </w:rPr>
              <w:t xml:space="preserve">15 dk</w:t>
            </w:r>
          </w:p>
        </w:tc>
      </w:tr>
      <w:tr>
        <w:tc>
          <w:tcPr>
            <w:tcW w:type="dxa" w:w="722"/>
            <w:shd w:fill="FFFFFF" w:val="clear"/>
            <w:tcMar>
              <w:top w:type="dxa" w:w="90"/>
              <w:left w:type="dxa" w:w="120"/>
              <w:bottom w:type="dxa" w:w="90"/>
              <w:right w:type="dxa" w:w="120"/>
            </w:tcMar>
          </w:tcPr>
          <w:p>
            <w:pPr>
              <w:spacing w:after="20"/>
              <w:jc w:val="left"/>
            </w:pPr>
            <w:r>
              <w:rPr>
                <w:b w:val="false"/>
                <w:bCs w:val="false"/>
                <w:color w:val="1A1A1A"/>
                <w:sz w:val="18"/>
                <w:szCs w:val="18"/>
              </w:rPr>
              <w:t xml:space="preserve">2</w:t>
            </w:r>
          </w:p>
        </w:tc>
        <w:tc>
          <w:tcPr>
            <w:tcW w:type="dxa" w:w="2345"/>
            <w:shd w:fill="FFFFFF" w:val="clear"/>
            <w:tcMar>
              <w:top w:type="dxa" w:w="90"/>
              <w:left w:type="dxa" w:w="120"/>
              <w:bottom w:type="dxa" w:w="90"/>
              <w:right w:type="dxa" w:w="120"/>
            </w:tcMar>
          </w:tcPr>
          <w:p>
            <w:pPr>
              <w:spacing w:after="20"/>
              <w:jc w:val="left"/>
            </w:pPr>
            <w:r>
              <w:rPr>
                <w:b w:val="false"/>
                <w:bCs w:val="false"/>
                <w:color w:val="1A1A1A"/>
                <w:sz w:val="18"/>
                <w:szCs w:val="18"/>
              </w:rPr>
              <w:t xml:space="preserve">06 — Uyum Kayıt Defteri</w:t>
            </w:r>
          </w:p>
        </w:tc>
        <w:tc>
          <w:tcPr>
            <w:tcW w:type="dxa" w:w="4690"/>
            <w:shd w:fill="FFFFFF" w:val="clear"/>
            <w:tcMar>
              <w:top w:type="dxa" w:w="90"/>
              <w:left w:type="dxa" w:w="120"/>
              <w:bottom w:type="dxa" w:w="90"/>
              <w:right w:type="dxa" w:w="120"/>
            </w:tcMar>
          </w:tcPr>
          <w:p>
            <w:pPr>
              <w:spacing w:after="20"/>
              <w:jc w:val="left"/>
            </w:pPr>
            <w:r>
              <w:rPr>
                <w:b w:val="false"/>
                <w:bCs w:val="false"/>
                <w:color w:val="1A1A1A"/>
                <w:sz w:val="18"/>
                <w:szCs w:val="18"/>
              </w:rPr>
              <w:t xml:space="preserve">Envanter sekmesine sistemlerinizi girin. Uyum Matrisi eksikleri otomatik gösterecek.</w:t>
            </w:r>
          </w:p>
        </w:tc>
        <w:tc>
          <w:tcPr>
            <w:tcW w:type="dxa" w:w="1263"/>
            <w:shd w:fill="FFFFFF" w:val="clear"/>
            <w:tcMar>
              <w:top w:type="dxa" w:w="90"/>
              <w:left w:type="dxa" w:w="120"/>
              <w:bottom w:type="dxa" w:w="90"/>
              <w:right w:type="dxa" w:w="120"/>
            </w:tcMar>
          </w:tcPr>
          <w:p>
            <w:pPr>
              <w:spacing w:after="20"/>
              <w:jc w:val="left"/>
            </w:pPr>
            <w:r>
              <w:rPr>
                <w:b w:val="false"/>
                <w:bCs w:val="false"/>
                <w:color w:val="1A1A1A"/>
                <w:sz w:val="18"/>
                <w:szCs w:val="18"/>
              </w:rPr>
              <w:t xml:space="preserve">20 dk</w:t>
            </w:r>
          </w:p>
        </w:tc>
      </w:tr>
      <w:tr>
        <w:tc>
          <w:tcPr>
            <w:tcW w:type="dxa" w:w="722"/>
            <w:shd w:fill="FFFFFF" w:val="clear"/>
            <w:tcMar>
              <w:top w:type="dxa" w:w="90"/>
              <w:left w:type="dxa" w:w="120"/>
              <w:bottom w:type="dxa" w:w="90"/>
              <w:right w:type="dxa" w:w="120"/>
            </w:tcMar>
          </w:tcPr>
          <w:p>
            <w:pPr>
              <w:spacing w:after="20"/>
              <w:jc w:val="left"/>
            </w:pPr>
            <w:r>
              <w:rPr>
                <w:b w:val="false"/>
                <w:bCs w:val="false"/>
                <w:color w:val="1A1A1A"/>
                <w:sz w:val="18"/>
                <w:szCs w:val="18"/>
              </w:rPr>
              <w:t xml:space="preserve">3</w:t>
            </w:r>
          </w:p>
        </w:tc>
        <w:tc>
          <w:tcPr>
            <w:tcW w:type="dxa" w:w="2345"/>
            <w:shd w:fill="FFFFFF" w:val="clear"/>
            <w:tcMar>
              <w:top w:type="dxa" w:w="90"/>
              <w:left w:type="dxa" w:w="120"/>
              <w:bottom w:type="dxa" w:w="90"/>
              <w:right w:type="dxa" w:w="120"/>
            </w:tcMar>
          </w:tcPr>
          <w:p>
            <w:pPr>
              <w:spacing w:after="20"/>
              <w:jc w:val="left"/>
            </w:pPr>
            <w:r>
              <w:rPr>
                <w:b w:val="false"/>
                <w:bCs w:val="false"/>
                <w:color w:val="1A1A1A"/>
                <w:sz w:val="18"/>
                <w:szCs w:val="18"/>
              </w:rPr>
              <w:t xml:space="preserve">02 — İfşa Metinleri</w:t>
            </w:r>
          </w:p>
        </w:tc>
        <w:tc>
          <w:tcPr>
            <w:tcW w:type="dxa" w:w="4690"/>
            <w:shd w:fill="FFFFFF" w:val="clear"/>
            <w:tcMar>
              <w:top w:type="dxa" w:w="90"/>
              <w:left w:type="dxa" w:w="120"/>
              <w:bottom w:type="dxa" w:w="90"/>
              <w:right w:type="dxa" w:w="120"/>
            </w:tcMar>
          </w:tcPr>
          <w:p>
            <w:pPr>
              <w:spacing w:after="20"/>
              <w:jc w:val="left"/>
            </w:pPr>
            <w:r>
              <w:rPr>
                <w:b w:val="false"/>
                <w:bCs w:val="false"/>
                <w:color w:val="1A1A1A"/>
                <w:sz w:val="18"/>
                <w:szCs w:val="18"/>
              </w:rPr>
              <w:t xml:space="preserve">Etkileşimli sistemleriniz varsa metinleri kanallara yerleştirin ve ekran görüntüsü alın.</w:t>
            </w:r>
          </w:p>
        </w:tc>
        <w:tc>
          <w:tcPr>
            <w:tcW w:type="dxa" w:w="1263"/>
            <w:shd w:fill="FFFFFF" w:val="clear"/>
            <w:tcMar>
              <w:top w:type="dxa" w:w="90"/>
              <w:left w:type="dxa" w:w="120"/>
              <w:bottom w:type="dxa" w:w="90"/>
              <w:right w:type="dxa" w:w="120"/>
            </w:tcMar>
          </w:tcPr>
          <w:p>
            <w:pPr>
              <w:spacing w:after="20"/>
              <w:jc w:val="left"/>
            </w:pPr>
            <w:r>
              <w:rPr>
                <w:b w:val="false"/>
                <w:bCs w:val="false"/>
                <w:color w:val="1A1A1A"/>
                <w:sz w:val="18"/>
                <w:szCs w:val="18"/>
              </w:rPr>
              <w:t xml:space="preserve">20 dk</w:t>
            </w:r>
          </w:p>
        </w:tc>
      </w:tr>
      <w:tr>
        <w:tc>
          <w:tcPr>
            <w:tcW w:type="dxa" w:w="722"/>
            <w:shd w:fill="FFFFFF" w:val="clear"/>
            <w:tcMar>
              <w:top w:type="dxa" w:w="90"/>
              <w:left w:type="dxa" w:w="120"/>
              <w:bottom w:type="dxa" w:w="90"/>
              <w:right w:type="dxa" w:w="120"/>
            </w:tcMar>
          </w:tcPr>
          <w:p>
            <w:pPr>
              <w:spacing w:after="20"/>
              <w:jc w:val="left"/>
            </w:pPr>
            <w:r>
              <w:rPr>
                <w:b w:val="false"/>
                <w:bCs w:val="false"/>
                <w:color w:val="1A1A1A"/>
                <w:sz w:val="18"/>
                <w:szCs w:val="18"/>
              </w:rPr>
              <w:t xml:space="preserve">4</w:t>
            </w:r>
          </w:p>
        </w:tc>
        <w:tc>
          <w:tcPr>
            <w:tcW w:type="dxa" w:w="2345"/>
            <w:shd w:fill="FFFFFF" w:val="clear"/>
            <w:tcMar>
              <w:top w:type="dxa" w:w="90"/>
              <w:left w:type="dxa" w:w="120"/>
              <w:bottom w:type="dxa" w:w="90"/>
              <w:right w:type="dxa" w:w="120"/>
            </w:tcMar>
          </w:tcPr>
          <w:p>
            <w:pPr>
              <w:spacing w:after="20"/>
              <w:jc w:val="left"/>
            </w:pPr>
            <w:r>
              <w:rPr>
                <w:b w:val="false"/>
                <w:bCs w:val="false"/>
                <w:color w:val="1A1A1A"/>
                <w:sz w:val="18"/>
                <w:szCs w:val="18"/>
              </w:rPr>
              <w:t xml:space="preserve">03 — Sentetik İçerik Politikası</w:t>
            </w:r>
          </w:p>
        </w:tc>
        <w:tc>
          <w:tcPr>
            <w:tcW w:type="dxa" w:w="4690"/>
            <w:shd w:fill="FFFFFF" w:val="clear"/>
            <w:tcMar>
              <w:top w:type="dxa" w:w="90"/>
              <w:left w:type="dxa" w:w="120"/>
              <w:bottom w:type="dxa" w:w="90"/>
              <w:right w:type="dxa" w:w="120"/>
            </w:tcMar>
          </w:tcPr>
          <w:p>
            <w:pPr>
              <w:spacing w:after="20"/>
              <w:jc w:val="left"/>
            </w:pPr>
            <w:r>
              <w:rPr>
                <w:b w:val="false"/>
                <w:bCs w:val="false"/>
                <w:color w:val="1A1A1A"/>
                <w:sz w:val="18"/>
                <w:szCs w:val="18"/>
              </w:rPr>
              <w:t xml:space="preserve">Köşeli parantezleri doldurun, onaya sunun.</w:t>
            </w:r>
          </w:p>
        </w:tc>
        <w:tc>
          <w:tcPr>
            <w:tcW w:type="dxa" w:w="1263"/>
            <w:shd w:fill="FFFFFF" w:val="clear"/>
            <w:tcMar>
              <w:top w:type="dxa" w:w="90"/>
              <w:left w:type="dxa" w:w="120"/>
              <w:bottom w:type="dxa" w:w="90"/>
              <w:right w:type="dxa" w:w="120"/>
            </w:tcMar>
          </w:tcPr>
          <w:p>
            <w:pPr>
              <w:spacing w:after="20"/>
              <w:jc w:val="left"/>
            </w:pPr>
            <w:r>
              <w:rPr>
                <w:b w:val="false"/>
                <w:bCs w:val="false"/>
                <w:color w:val="1A1A1A"/>
                <w:sz w:val="18"/>
                <w:szCs w:val="18"/>
              </w:rPr>
              <w:t xml:space="preserve">15 dk</w:t>
            </w:r>
          </w:p>
        </w:tc>
      </w:tr>
      <w:tr>
        <w:tc>
          <w:tcPr>
            <w:tcW w:type="dxa" w:w="722"/>
            <w:shd w:fill="FFFFFF" w:val="clear"/>
            <w:tcMar>
              <w:top w:type="dxa" w:w="90"/>
              <w:left w:type="dxa" w:w="120"/>
              <w:bottom w:type="dxa" w:w="90"/>
              <w:right w:type="dxa" w:w="120"/>
            </w:tcMar>
          </w:tcPr>
          <w:p>
            <w:pPr>
              <w:spacing w:after="20"/>
              <w:jc w:val="left"/>
            </w:pPr>
            <w:r>
              <w:rPr>
                <w:b w:val="false"/>
                <w:bCs w:val="false"/>
                <w:color w:val="1A1A1A"/>
                <w:sz w:val="18"/>
                <w:szCs w:val="18"/>
              </w:rPr>
              <w:t xml:space="preserve">5</w:t>
            </w:r>
          </w:p>
        </w:tc>
        <w:tc>
          <w:tcPr>
            <w:tcW w:type="dxa" w:w="2345"/>
            <w:shd w:fill="FFFFFF" w:val="clear"/>
            <w:tcMar>
              <w:top w:type="dxa" w:w="90"/>
              <w:left w:type="dxa" w:w="120"/>
              <w:bottom w:type="dxa" w:w="90"/>
              <w:right w:type="dxa" w:w="120"/>
            </w:tcMar>
          </w:tcPr>
          <w:p>
            <w:pPr>
              <w:spacing w:after="20"/>
              <w:jc w:val="left"/>
            </w:pPr>
            <w:r>
              <w:rPr>
                <w:b w:val="false"/>
                <w:bCs w:val="false"/>
                <w:color w:val="1A1A1A"/>
                <w:sz w:val="18"/>
                <w:szCs w:val="18"/>
              </w:rPr>
              <w:t xml:space="preserve">05 — Çalışan Politikası</w:t>
            </w:r>
          </w:p>
        </w:tc>
        <w:tc>
          <w:tcPr>
            <w:tcW w:type="dxa" w:w="4690"/>
            <w:shd w:fill="FFFFFF" w:val="clear"/>
            <w:tcMar>
              <w:top w:type="dxa" w:w="90"/>
              <w:left w:type="dxa" w:w="120"/>
              <w:bottom w:type="dxa" w:w="90"/>
              <w:right w:type="dxa" w:w="120"/>
            </w:tcMar>
          </w:tcPr>
          <w:p>
            <w:pPr>
              <w:spacing w:after="20"/>
              <w:jc w:val="left"/>
            </w:pPr>
            <w:r>
              <w:rPr>
                <w:b w:val="false"/>
                <w:bCs w:val="false"/>
                <w:color w:val="1A1A1A"/>
                <w:sz w:val="18"/>
                <w:szCs w:val="18"/>
              </w:rPr>
              <w:t xml:space="preserve">Ek-1 onaylı araç listesini yazın, çalışanlara tebliğ edin.</w:t>
            </w:r>
          </w:p>
        </w:tc>
        <w:tc>
          <w:tcPr>
            <w:tcW w:type="dxa" w:w="1263"/>
            <w:shd w:fill="FFFFFF" w:val="clear"/>
            <w:tcMar>
              <w:top w:type="dxa" w:w="90"/>
              <w:left w:type="dxa" w:w="120"/>
              <w:bottom w:type="dxa" w:w="90"/>
              <w:right w:type="dxa" w:w="120"/>
            </w:tcMar>
          </w:tcPr>
          <w:p>
            <w:pPr>
              <w:spacing w:after="20"/>
              <w:jc w:val="left"/>
            </w:pPr>
            <w:r>
              <w:rPr>
                <w:b w:val="false"/>
                <w:bCs w:val="false"/>
                <w:color w:val="1A1A1A"/>
                <w:sz w:val="18"/>
                <w:szCs w:val="18"/>
              </w:rPr>
              <w:t xml:space="preserve">15 dk</w:t>
            </w:r>
          </w:p>
        </w:tc>
      </w:tr>
      <w:tr>
        <w:tc>
          <w:tcPr>
            <w:tcW w:type="dxa" w:w="722"/>
            <w:shd w:fill="FFFFFF" w:val="clear"/>
            <w:tcMar>
              <w:top w:type="dxa" w:w="90"/>
              <w:left w:type="dxa" w:w="120"/>
              <w:bottom w:type="dxa" w:w="90"/>
              <w:right w:type="dxa" w:w="120"/>
            </w:tcMar>
          </w:tcPr>
          <w:p>
            <w:pPr>
              <w:spacing w:after="20"/>
              <w:jc w:val="left"/>
            </w:pPr>
            <w:r>
              <w:rPr>
                <w:b w:val="false"/>
                <w:bCs w:val="false"/>
                <w:color w:val="1A1A1A"/>
                <w:sz w:val="18"/>
                <w:szCs w:val="18"/>
              </w:rPr>
              <w:t xml:space="preserve">6</w:t>
            </w:r>
          </w:p>
        </w:tc>
        <w:tc>
          <w:tcPr>
            <w:tcW w:type="dxa" w:w="2345"/>
            <w:shd w:fill="FFFFFF" w:val="clear"/>
            <w:tcMar>
              <w:top w:type="dxa" w:w="90"/>
              <w:left w:type="dxa" w:w="120"/>
              <w:bottom w:type="dxa" w:w="90"/>
              <w:right w:type="dxa" w:w="120"/>
            </w:tcMar>
          </w:tcPr>
          <w:p>
            <w:pPr>
              <w:spacing w:after="20"/>
              <w:jc w:val="left"/>
            </w:pPr>
            <w:r>
              <w:rPr>
                <w:b w:val="false"/>
                <w:bCs w:val="false"/>
                <w:color w:val="1A1A1A"/>
                <w:sz w:val="18"/>
                <w:szCs w:val="18"/>
              </w:rPr>
              <w:t xml:space="preserve">04 — Tedarikçi Ek Protokolü</w:t>
            </w:r>
          </w:p>
        </w:tc>
        <w:tc>
          <w:tcPr>
            <w:tcW w:type="dxa" w:w="4690"/>
            <w:shd w:fill="FFFFFF" w:val="clear"/>
            <w:tcMar>
              <w:top w:type="dxa" w:w="90"/>
              <w:left w:type="dxa" w:w="120"/>
              <w:bottom w:type="dxa" w:w="90"/>
              <w:right w:type="dxa" w:w="120"/>
            </w:tcMar>
          </w:tcPr>
          <w:p>
            <w:pPr>
              <w:spacing w:after="20"/>
              <w:jc w:val="left"/>
            </w:pPr>
            <w:r>
              <w:rPr>
                <w:b w:val="false"/>
                <w:bCs w:val="false"/>
                <w:color w:val="1A1A1A"/>
                <w:sz w:val="18"/>
                <w:szCs w:val="18"/>
              </w:rPr>
              <w:t xml:space="preserve">YZ tedarikçilerinize gönderin; Ek-1 ve Ek-2’yi doldurmalarını isteyin.</w:t>
            </w:r>
          </w:p>
        </w:tc>
        <w:tc>
          <w:tcPr>
            <w:tcW w:type="dxa" w:w="1263"/>
            <w:shd w:fill="FFFFFF" w:val="clear"/>
            <w:tcMar>
              <w:top w:type="dxa" w:w="90"/>
              <w:left w:type="dxa" w:w="120"/>
              <w:bottom w:type="dxa" w:w="90"/>
              <w:right w:type="dxa" w:w="120"/>
            </w:tcMar>
          </w:tcPr>
          <w:p>
            <w:pPr>
              <w:spacing w:after="20"/>
              <w:jc w:val="left"/>
            </w:pPr>
            <w:r>
              <w:rPr>
                <w:b w:val="false"/>
                <w:bCs w:val="false"/>
                <w:color w:val="1A1A1A"/>
                <w:sz w:val="18"/>
                <w:szCs w:val="18"/>
              </w:rPr>
              <w:t xml:space="preserve">5 dk + bekleme</w:t>
            </w:r>
          </w:p>
        </w:tc>
      </w:tr>
    </w:tbl>
    <w:p>
      <w:pPr>
        <w:pStyle w:val="Heading1"/>
      </w:pPr>
      <w:r>
        <w:t xml:space="preserve">Kritik üç nokta</w:t>
      </w:r>
    </w:p>
    <w:p>
      <w:pPr>
        <w:pStyle w:val="ListParagraph"/>
        <w:numPr>
          <w:ilvl w:val="0"/>
          <w:numId w:val="2"/>
        </w:numPr>
        <w:spacing w:after="60"/>
        <w:jc w:val="left"/>
      </w:pPr>
      <w:r>
        <w:rPr>
          <w:b/>
          <w:bCs/>
          <w:i w:val="false"/>
          <w:iCs w:val="false"/>
        </w:rPr>
        <w:t xml:space="preserve">Türkiye’de olmanız sizi kapsam dışı bırakmaz. </w:t>
      </w:r>
      <w:r>
        <w:rPr>
          <w:b w:val="false"/>
          <w:bCs w:val="false"/>
          <w:i w:val="false"/>
          <w:iCs w:val="false"/>
        </w:rPr>
        <w:t xml:space="preserve">Sistemin çıktısının AB içinde kullanılması yeterlidir (m. 2(1)(c)). AB’de ofisiniz, sunucunuz veya iştirakiniz olmasa da kapsamdasınız.</w:t>
      </w:r>
    </w:p>
    <w:p>
      <w:pPr>
        <w:pStyle w:val="ListParagraph"/>
        <w:numPr>
          <w:ilvl w:val="0"/>
          <w:numId w:val="2"/>
        </w:numPr>
        <w:spacing w:after="60"/>
        <w:jc w:val="left"/>
      </w:pPr>
      <w:r>
        <w:rPr>
          <w:b/>
          <w:bCs/>
          <w:i w:val="false"/>
          <w:iCs w:val="false"/>
        </w:rPr>
        <w:t xml:space="preserve">Beyaz etiketleme sizi sağlayıcı yapar. </w:t>
      </w:r>
      <w:r>
        <w:rPr>
          <w:b w:val="false"/>
          <w:bCs w:val="false"/>
          <w:i w:val="false"/>
          <w:iCs w:val="false"/>
        </w:rPr>
        <w:t xml:space="preserve">Üçüncü taraf bir modeli kendi markanızla sunuyorsanız m. 25 uyarınca sağlayıcı sayılırsınız ve m. 50(1)-(2) yükümlülüklerini üstlenirsiniz. Türkiye’deki YZ ürünlerinin çoğu bu durumdadır ve bunu bilmemektedir.</w:t>
      </w:r>
    </w:p>
    <w:p>
      <w:pPr>
        <w:pStyle w:val="ListParagraph"/>
        <w:numPr>
          <w:ilvl w:val="0"/>
          <w:numId w:val="2"/>
        </w:numPr>
        <w:spacing w:after="60"/>
        <w:jc w:val="left"/>
      </w:pPr>
      <w:r>
        <w:rPr>
          <w:b/>
          <w:bCs/>
          <w:i w:val="false"/>
          <w:iCs w:val="false"/>
        </w:rPr>
        <w:t xml:space="preserve">Gerekçesiz istisna, istisna değildir. </w:t>
      </w:r>
      <w:r>
        <w:rPr>
          <w:b w:val="false"/>
          <w:bCs w:val="false"/>
          <w:i w:val="false"/>
          <w:iCs w:val="false"/>
        </w:rPr>
        <w:t xml:space="preserve">Bir yükümlülüğe istisna nedeniyle uymuyorsanız, gerekçeyi karar tarihi ve karar verenle birlikte yazılı kaydetmeniz gerekir. Denetimde sorulacak ilk şey bu kayıttır.</w:t>
      </w:r>
    </w:p>
    <w:p>
      <w:pPr>
        <w:pStyle w:val="Heading1"/>
      </w:pPr>
      <w:r>
        <w:t xml:space="preserve">Belge listesi</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1443"/>
        <w:gridCol w:w="5953"/>
        <w:gridCol w:w="1624"/>
      </w:tblGrid>
      <w:tr>
        <w:trPr>
          <w:tblHeader/>
        </w:trPr>
        <w:tc>
          <w:tcPr>
            <w:tcW w:type="dxa" w:w="1443"/>
            <w:shd w:fill="0B2545" w:val="clear"/>
            <w:tcMar>
              <w:top w:type="dxa" w:w="90"/>
              <w:left w:type="dxa" w:w="120"/>
              <w:bottom w:type="dxa" w:w="90"/>
              <w:right w:type="dxa" w:w="120"/>
            </w:tcMar>
          </w:tcPr>
          <w:p>
            <w:pPr>
              <w:spacing w:after="20"/>
              <w:jc w:val="left"/>
            </w:pPr>
            <w:r>
              <w:rPr>
                <w:b/>
                <w:bCs/>
                <w:color w:val="FFFFFF"/>
                <w:sz w:val="18"/>
                <w:szCs w:val="18"/>
              </w:rPr>
              <w:t xml:space="preserve">Kod</w:t>
            </w:r>
          </w:p>
        </w:tc>
        <w:tc>
          <w:tcPr>
            <w:tcW w:type="dxa" w:w="5953"/>
            <w:shd w:fill="0B2545" w:val="clear"/>
            <w:tcMar>
              <w:top w:type="dxa" w:w="90"/>
              <w:left w:type="dxa" w:w="120"/>
              <w:bottom w:type="dxa" w:w="90"/>
              <w:right w:type="dxa" w:w="120"/>
            </w:tcMar>
          </w:tcPr>
          <w:p>
            <w:pPr>
              <w:spacing w:after="20"/>
              <w:jc w:val="left"/>
            </w:pPr>
            <w:r>
              <w:rPr>
                <w:b/>
                <w:bCs/>
                <w:color w:val="FFFFFF"/>
                <w:sz w:val="18"/>
                <w:szCs w:val="18"/>
              </w:rPr>
              <w:t xml:space="preserve">Belge</w:t>
            </w:r>
          </w:p>
        </w:tc>
        <w:tc>
          <w:tcPr>
            <w:tcW w:type="dxa" w:w="1624"/>
            <w:shd w:fill="0B2545" w:val="clear"/>
            <w:tcMar>
              <w:top w:type="dxa" w:w="90"/>
              <w:left w:type="dxa" w:w="120"/>
              <w:bottom w:type="dxa" w:w="90"/>
              <w:right w:type="dxa" w:w="120"/>
            </w:tcMar>
          </w:tcPr>
          <w:p>
            <w:pPr>
              <w:spacing w:after="20"/>
              <w:jc w:val="left"/>
            </w:pPr>
            <w:r>
              <w:rPr>
                <w:b/>
                <w:bCs/>
                <w:color w:val="FFFFFF"/>
                <w:sz w:val="18"/>
                <w:szCs w:val="18"/>
              </w:rPr>
              <w:t xml:space="preserve">Format</w:t>
            </w:r>
          </w:p>
        </w:tc>
      </w:tr>
      <w:tr>
        <w:tc>
          <w:tcPr>
            <w:tcW w:type="dxa" w:w="1443"/>
            <w:shd w:fill="FFFFFF" w:val="clear"/>
            <w:tcMar>
              <w:top w:type="dxa" w:w="90"/>
              <w:left w:type="dxa" w:w="120"/>
              <w:bottom w:type="dxa" w:w="90"/>
              <w:right w:type="dxa" w:w="120"/>
            </w:tcMar>
          </w:tcPr>
          <w:p>
            <w:pPr>
              <w:spacing w:after="20"/>
              <w:jc w:val="left"/>
            </w:pPr>
            <w:r>
              <w:rPr>
                <w:b w:val="false"/>
                <w:bCs w:val="false"/>
                <w:color w:val="1A1A1A"/>
                <w:sz w:val="18"/>
                <w:szCs w:val="18"/>
              </w:rPr>
              <w:t xml:space="preserve">AIA-01</w:t>
            </w:r>
          </w:p>
        </w:tc>
        <w:tc>
          <w:tcPr>
            <w:tcW w:type="dxa" w:w="5953"/>
            <w:shd w:fill="FFFFFF" w:val="clear"/>
            <w:tcMar>
              <w:top w:type="dxa" w:w="90"/>
              <w:left w:type="dxa" w:w="120"/>
              <w:bottom w:type="dxa" w:w="90"/>
              <w:right w:type="dxa" w:w="120"/>
            </w:tcMar>
          </w:tcPr>
          <w:p>
            <w:pPr>
              <w:spacing w:after="20"/>
              <w:jc w:val="left"/>
            </w:pPr>
            <w:r>
              <w:rPr>
                <w:b w:val="false"/>
                <w:bCs w:val="false"/>
                <w:color w:val="1A1A1A"/>
                <w:sz w:val="18"/>
                <w:szCs w:val="18"/>
              </w:rPr>
              <w:t xml:space="preserve">Madde 50 Uygunluk Testi</w:t>
            </w:r>
          </w:p>
        </w:tc>
        <w:tc>
          <w:tcPr>
            <w:tcW w:type="dxa" w:w="1624"/>
            <w:shd w:fill="FFFFFF" w:val="clear"/>
            <w:tcMar>
              <w:top w:type="dxa" w:w="90"/>
              <w:left w:type="dxa" w:w="120"/>
              <w:bottom w:type="dxa" w:w="90"/>
              <w:right w:type="dxa" w:w="120"/>
            </w:tcMar>
          </w:tcPr>
          <w:p>
            <w:pPr>
              <w:spacing w:after="20"/>
              <w:jc w:val="left"/>
            </w:pPr>
            <w:r>
              <w:rPr>
                <w:b w:val="false"/>
                <w:bCs w:val="false"/>
                <w:color w:val="1A1A1A"/>
                <w:sz w:val="18"/>
                <w:szCs w:val="18"/>
              </w:rPr>
              <w:t xml:space="preserve">Word</w:t>
            </w:r>
          </w:p>
        </w:tc>
      </w:tr>
      <w:tr>
        <w:tc>
          <w:tcPr>
            <w:tcW w:type="dxa" w:w="1443"/>
            <w:shd w:fill="FFFFFF" w:val="clear"/>
            <w:tcMar>
              <w:top w:type="dxa" w:w="90"/>
              <w:left w:type="dxa" w:w="120"/>
              <w:bottom w:type="dxa" w:w="90"/>
              <w:right w:type="dxa" w:w="120"/>
            </w:tcMar>
          </w:tcPr>
          <w:p>
            <w:pPr>
              <w:spacing w:after="20"/>
              <w:jc w:val="left"/>
            </w:pPr>
            <w:r>
              <w:rPr>
                <w:b w:val="false"/>
                <w:bCs w:val="false"/>
                <w:color w:val="1A1A1A"/>
                <w:sz w:val="18"/>
                <w:szCs w:val="18"/>
              </w:rPr>
              <w:t xml:space="preserve">AIA-02</w:t>
            </w:r>
          </w:p>
        </w:tc>
        <w:tc>
          <w:tcPr>
            <w:tcW w:type="dxa" w:w="5953"/>
            <w:shd w:fill="FFFFFF" w:val="clear"/>
            <w:tcMar>
              <w:top w:type="dxa" w:w="90"/>
              <w:left w:type="dxa" w:w="120"/>
              <w:bottom w:type="dxa" w:w="90"/>
              <w:right w:type="dxa" w:w="120"/>
            </w:tcMar>
          </w:tcPr>
          <w:p>
            <w:pPr>
              <w:spacing w:after="20"/>
              <w:jc w:val="left"/>
            </w:pPr>
            <w:r>
              <w:rPr>
                <w:b w:val="false"/>
                <w:bCs w:val="false"/>
                <w:color w:val="1A1A1A"/>
                <w:sz w:val="18"/>
                <w:szCs w:val="18"/>
              </w:rPr>
              <w:t xml:space="preserve">Sohbet Robotu ve Etkileşim İfşa Metinleri (TR/EN/DE)</w:t>
            </w:r>
          </w:p>
        </w:tc>
        <w:tc>
          <w:tcPr>
            <w:tcW w:type="dxa" w:w="1624"/>
            <w:shd w:fill="FFFFFF" w:val="clear"/>
            <w:tcMar>
              <w:top w:type="dxa" w:w="90"/>
              <w:left w:type="dxa" w:w="120"/>
              <w:bottom w:type="dxa" w:w="90"/>
              <w:right w:type="dxa" w:w="120"/>
            </w:tcMar>
          </w:tcPr>
          <w:p>
            <w:pPr>
              <w:spacing w:after="20"/>
              <w:jc w:val="left"/>
            </w:pPr>
            <w:r>
              <w:rPr>
                <w:b w:val="false"/>
                <w:bCs w:val="false"/>
                <w:color w:val="1A1A1A"/>
                <w:sz w:val="18"/>
                <w:szCs w:val="18"/>
              </w:rPr>
              <w:t xml:space="preserve">Word</w:t>
            </w:r>
          </w:p>
        </w:tc>
      </w:tr>
      <w:tr>
        <w:tc>
          <w:tcPr>
            <w:tcW w:type="dxa" w:w="1443"/>
            <w:shd w:fill="FFFFFF" w:val="clear"/>
            <w:tcMar>
              <w:top w:type="dxa" w:w="90"/>
              <w:left w:type="dxa" w:w="120"/>
              <w:bottom w:type="dxa" w:w="90"/>
              <w:right w:type="dxa" w:w="120"/>
            </w:tcMar>
          </w:tcPr>
          <w:p>
            <w:pPr>
              <w:spacing w:after="20"/>
              <w:jc w:val="left"/>
            </w:pPr>
            <w:r>
              <w:rPr>
                <w:b w:val="false"/>
                <w:bCs w:val="false"/>
                <w:color w:val="1A1A1A"/>
                <w:sz w:val="18"/>
                <w:szCs w:val="18"/>
              </w:rPr>
              <w:t xml:space="preserve">AIA-03</w:t>
            </w:r>
          </w:p>
        </w:tc>
        <w:tc>
          <w:tcPr>
            <w:tcW w:type="dxa" w:w="5953"/>
            <w:shd w:fill="FFFFFF" w:val="clear"/>
            <w:tcMar>
              <w:top w:type="dxa" w:w="90"/>
              <w:left w:type="dxa" w:w="120"/>
              <w:bottom w:type="dxa" w:w="90"/>
              <w:right w:type="dxa" w:w="120"/>
            </w:tcMar>
          </w:tcPr>
          <w:p>
            <w:pPr>
              <w:spacing w:after="20"/>
              <w:jc w:val="left"/>
            </w:pPr>
            <w:r>
              <w:rPr>
                <w:b w:val="false"/>
                <w:bCs w:val="false"/>
                <w:color w:val="1A1A1A"/>
                <w:sz w:val="18"/>
                <w:szCs w:val="18"/>
              </w:rPr>
              <w:t xml:space="preserve">Sentetik İçerik İşaretleme ve Etiketleme Politikası</w:t>
            </w:r>
          </w:p>
        </w:tc>
        <w:tc>
          <w:tcPr>
            <w:tcW w:type="dxa" w:w="1624"/>
            <w:shd w:fill="FFFFFF" w:val="clear"/>
            <w:tcMar>
              <w:top w:type="dxa" w:w="90"/>
              <w:left w:type="dxa" w:w="120"/>
              <w:bottom w:type="dxa" w:w="90"/>
              <w:right w:type="dxa" w:w="120"/>
            </w:tcMar>
          </w:tcPr>
          <w:p>
            <w:pPr>
              <w:spacing w:after="20"/>
              <w:jc w:val="left"/>
            </w:pPr>
            <w:r>
              <w:rPr>
                <w:b w:val="false"/>
                <w:bCs w:val="false"/>
                <w:color w:val="1A1A1A"/>
                <w:sz w:val="18"/>
                <w:szCs w:val="18"/>
              </w:rPr>
              <w:t xml:space="preserve">Word</w:t>
            </w:r>
          </w:p>
        </w:tc>
      </w:tr>
      <w:tr>
        <w:tc>
          <w:tcPr>
            <w:tcW w:type="dxa" w:w="1443"/>
            <w:shd w:fill="FFFFFF" w:val="clear"/>
            <w:tcMar>
              <w:top w:type="dxa" w:w="90"/>
              <w:left w:type="dxa" w:w="120"/>
              <w:bottom w:type="dxa" w:w="90"/>
              <w:right w:type="dxa" w:w="120"/>
            </w:tcMar>
          </w:tcPr>
          <w:p>
            <w:pPr>
              <w:spacing w:after="20"/>
              <w:jc w:val="left"/>
            </w:pPr>
            <w:r>
              <w:rPr>
                <w:b w:val="false"/>
                <w:bCs w:val="false"/>
                <w:color w:val="1A1A1A"/>
                <w:sz w:val="18"/>
                <w:szCs w:val="18"/>
              </w:rPr>
              <w:t xml:space="preserve">AIA-04</w:t>
            </w:r>
          </w:p>
        </w:tc>
        <w:tc>
          <w:tcPr>
            <w:tcW w:type="dxa" w:w="5953"/>
            <w:shd w:fill="FFFFFF" w:val="clear"/>
            <w:tcMar>
              <w:top w:type="dxa" w:w="90"/>
              <w:left w:type="dxa" w:w="120"/>
              <w:bottom w:type="dxa" w:w="90"/>
              <w:right w:type="dxa" w:w="120"/>
            </w:tcMar>
          </w:tcPr>
          <w:p>
            <w:pPr>
              <w:spacing w:after="20"/>
              <w:jc w:val="left"/>
            </w:pPr>
            <w:r>
              <w:rPr>
                <w:b w:val="false"/>
                <w:bCs w:val="false"/>
                <w:color w:val="1A1A1A"/>
                <w:sz w:val="18"/>
                <w:szCs w:val="18"/>
              </w:rPr>
              <w:t xml:space="preserve">Tedarikçi Sözleşmesi Yapay Zeka Ek Protokolü</w:t>
            </w:r>
          </w:p>
        </w:tc>
        <w:tc>
          <w:tcPr>
            <w:tcW w:type="dxa" w:w="1624"/>
            <w:shd w:fill="FFFFFF" w:val="clear"/>
            <w:tcMar>
              <w:top w:type="dxa" w:w="90"/>
              <w:left w:type="dxa" w:w="120"/>
              <w:bottom w:type="dxa" w:w="90"/>
              <w:right w:type="dxa" w:w="120"/>
            </w:tcMar>
          </w:tcPr>
          <w:p>
            <w:pPr>
              <w:spacing w:after="20"/>
              <w:jc w:val="left"/>
            </w:pPr>
            <w:r>
              <w:rPr>
                <w:b w:val="false"/>
                <w:bCs w:val="false"/>
                <w:color w:val="1A1A1A"/>
                <w:sz w:val="18"/>
                <w:szCs w:val="18"/>
              </w:rPr>
              <w:t xml:space="preserve">Word</w:t>
            </w:r>
          </w:p>
        </w:tc>
      </w:tr>
      <w:tr>
        <w:tc>
          <w:tcPr>
            <w:tcW w:type="dxa" w:w="1443"/>
            <w:shd w:fill="FFFFFF" w:val="clear"/>
            <w:tcMar>
              <w:top w:type="dxa" w:w="90"/>
              <w:left w:type="dxa" w:w="120"/>
              <w:bottom w:type="dxa" w:w="90"/>
              <w:right w:type="dxa" w:w="120"/>
            </w:tcMar>
          </w:tcPr>
          <w:p>
            <w:pPr>
              <w:spacing w:after="20"/>
              <w:jc w:val="left"/>
            </w:pPr>
            <w:r>
              <w:rPr>
                <w:b w:val="false"/>
                <w:bCs w:val="false"/>
                <w:color w:val="1A1A1A"/>
                <w:sz w:val="18"/>
                <w:szCs w:val="18"/>
              </w:rPr>
              <w:t xml:space="preserve">AIA-05</w:t>
            </w:r>
          </w:p>
        </w:tc>
        <w:tc>
          <w:tcPr>
            <w:tcW w:type="dxa" w:w="5953"/>
            <w:shd w:fill="FFFFFF" w:val="clear"/>
            <w:tcMar>
              <w:top w:type="dxa" w:w="90"/>
              <w:left w:type="dxa" w:w="120"/>
              <w:bottom w:type="dxa" w:w="90"/>
              <w:right w:type="dxa" w:w="120"/>
            </w:tcMar>
          </w:tcPr>
          <w:p>
            <w:pPr>
              <w:spacing w:after="20"/>
              <w:jc w:val="left"/>
            </w:pPr>
            <w:r>
              <w:rPr>
                <w:b w:val="false"/>
                <w:bCs w:val="false"/>
                <w:color w:val="1A1A1A"/>
                <w:sz w:val="18"/>
                <w:szCs w:val="18"/>
              </w:rPr>
              <w:t xml:space="preserve">Çalışan Yapay Zeka Kullanım Politikası</w:t>
            </w:r>
          </w:p>
        </w:tc>
        <w:tc>
          <w:tcPr>
            <w:tcW w:type="dxa" w:w="1624"/>
            <w:shd w:fill="FFFFFF" w:val="clear"/>
            <w:tcMar>
              <w:top w:type="dxa" w:w="90"/>
              <w:left w:type="dxa" w:w="120"/>
              <w:bottom w:type="dxa" w:w="90"/>
              <w:right w:type="dxa" w:w="120"/>
            </w:tcMar>
          </w:tcPr>
          <w:p>
            <w:pPr>
              <w:spacing w:after="20"/>
              <w:jc w:val="left"/>
            </w:pPr>
            <w:r>
              <w:rPr>
                <w:b w:val="false"/>
                <w:bCs w:val="false"/>
                <w:color w:val="1A1A1A"/>
                <w:sz w:val="18"/>
                <w:szCs w:val="18"/>
              </w:rPr>
              <w:t xml:space="preserve">Word</w:t>
            </w:r>
          </w:p>
        </w:tc>
      </w:tr>
      <w:tr>
        <w:tc>
          <w:tcPr>
            <w:tcW w:type="dxa" w:w="1443"/>
            <w:shd w:fill="FFFFFF" w:val="clear"/>
            <w:tcMar>
              <w:top w:type="dxa" w:w="90"/>
              <w:left w:type="dxa" w:w="120"/>
              <w:bottom w:type="dxa" w:w="90"/>
              <w:right w:type="dxa" w:w="120"/>
            </w:tcMar>
          </w:tcPr>
          <w:p>
            <w:pPr>
              <w:spacing w:after="20"/>
              <w:jc w:val="left"/>
            </w:pPr>
            <w:r>
              <w:rPr>
                <w:b w:val="false"/>
                <w:bCs w:val="false"/>
                <w:color w:val="1A1A1A"/>
                <w:sz w:val="18"/>
                <w:szCs w:val="18"/>
              </w:rPr>
              <w:t xml:space="preserve">AIA-06</w:t>
            </w:r>
          </w:p>
        </w:tc>
        <w:tc>
          <w:tcPr>
            <w:tcW w:type="dxa" w:w="5953"/>
            <w:shd w:fill="FFFFFF" w:val="clear"/>
            <w:tcMar>
              <w:top w:type="dxa" w:w="90"/>
              <w:left w:type="dxa" w:w="120"/>
              <w:bottom w:type="dxa" w:w="90"/>
              <w:right w:type="dxa" w:w="120"/>
            </w:tcMar>
          </w:tcPr>
          <w:p>
            <w:pPr>
              <w:spacing w:after="20"/>
              <w:jc w:val="left"/>
            </w:pPr>
            <w:r>
              <w:rPr>
                <w:b w:val="false"/>
                <w:bCs w:val="false"/>
                <w:color w:val="1A1A1A"/>
                <w:sz w:val="18"/>
                <w:szCs w:val="18"/>
              </w:rPr>
              <w:t xml:space="preserve">Uyum Kayıt Defteri</w:t>
            </w:r>
          </w:p>
        </w:tc>
        <w:tc>
          <w:tcPr>
            <w:tcW w:type="dxa" w:w="1624"/>
            <w:shd w:fill="FFFFFF" w:val="clear"/>
            <w:tcMar>
              <w:top w:type="dxa" w:w="90"/>
              <w:left w:type="dxa" w:w="120"/>
              <w:bottom w:type="dxa" w:w="90"/>
              <w:right w:type="dxa" w:w="120"/>
            </w:tcMar>
          </w:tcPr>
          <w:p>
            <w:pPr>
              <w:spacing w:after="20"/>
              <w:jc w:val="left"/>
            </w:pPr>
            <w:r>
              <w:rPr>
                <w:b w:val="false"/>
                <w:bCs w:val="false"/>
                <w:color w:val="1A1A1A"/>
                <w:sz w:val="18"/>
                <w:szCs w:val="18"/>
              </w:rPr>
              <w:t xml:space="preserve">Excel</w:t>
            </w:r>
          </w:p>
        </w:tc>
      </w:tr>
    </w:tbl>
    <w:p>
      <w:pPr>
        <w:pStyle w:val="Heading1"/>
      </w:pPr>
      <w:r>
        <w:t xml:space="preserve">Yasal Uyarı</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9020"/>
      </w:tblGrid>
      <w:tr>
        <w:tc>
          <w:tcPr>
            <w:tcW w:type="dxa" w:w="9020"/>
            <w:tcBorders>
              <w:top w:val="none"/>
              <w:left w:val="single" w:color="5A6472" w:sz="24"/>
              <w:bottom w:val="none"/>
              <w:right w:val="none"/>
            </w:tcBorders>
            <w:shd w:fill="F7F7F9" w:val="clear"/>
            <w:tcMar>
              <w:top w:type="dxa" w:w="160"/>
              <w:left w:type="dxa" w:w="200"/>
              <w:bottom w:type="dxa" w:w="160"/>
              <w:right w:type="dxa" w:w="200"/>
            </w:tcMar>
          </w:tcPr>
          <w:p>
            <w:pPr>
              <w:jc w:val="both"/>
            </w:pPr>
            <w:r>
              <w:rPr>
                <w:b/>
                <w:bCs/>
                <w:i w:val="false"/>
                <w:iCs w:val="false"/>
              </w:rPr>
              <w:t xml:space="preserve">Yasal uyarı. </w:t>
            </w:r>
            <w:r>
              <w:rPr>
                <w:b w:val="false"/>
                <w:bCs w:val="false"/>
                <w:i w:val="false"/>
                <w:iCs w:val="false"/>
              </w:rPr>
              <w:t xml:space="preserve">Bu belge, AB Yapay Zeka Tüzüğü (Regulation (EU) 2024/1689) kapsamındaki şeffaflık yükümlülüklerine ilişkin genel nitelikli bir uyum dokümantasyon şablonudur. Belirli bir olay, sistem veya şirket bakımından hukuki mütalaa, avukatlık hizmeti veya vekâlet ilişkisi teşkil etmez. Şablonlar kullanılmadan önce şirketinizin fiili sistem envanterine göre uyarlanmalı ve yetkili bir hukuk müşaviri tarafından gözden geçirilmelidir. Mevzuat, Digital Omnibus değişiklikleri dâhil olmak üzere gelişmeye devam etmektedir; nihai metinler Avrupa Birliği Resmî Gazetesi (Official Journal) üzerinden teyit edilmelidir.</w:t>
            </w:r>
          </w:p>
        </w:tc>
      </w:tr>
    </w:tbl>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A6472"/>
        <w:sz w:val="15"/>
        <w:szCs w:val="15"/>
      </w:rPr>
      <w:t xml:space="preserve">AI Uyum ve Yönetişim · Sürüm 1.0 (Temmuz 2026) · Sayfa </w:t>
    </w:r>
    <w:r>
      <w:rPr>
        <w:color w:val="5A6472"/>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rPr>
        <w:color w:val="5A6472"/>
        <w:sz w:val="15"/>
        <w:szCs w:val="15"/>
      </w:rPr>
      <w:t xml:space="preserve">AIA-00 · Başlangıç Kılavuzu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20"/>
      </w:pPr>
    </w:lvl>
    <w:lvl w:ilvl="1" w15:tentative="1">
      <w:start w:val="1"/>
      <w:numFmt w:val="bullet"/>
      <w:lvlText w:val="–"/>
      <w:lvlJc w:val="left"/>
      <w:pPr>
        <w:ind w:left="760" w:hanging="220"/>
      </w:pPr>
    </w:lvl>
  </w:abstractNum>
  <w:abstractNum w:abstractNumId="3" w15:restartNumberingAfterBreak="0">
    <w:multiLevelType w:val="hybridMultilevel"/>
    <w:lvl w:ilvl="0" w15:tentative="1">
      <w:start w:val="1"/>
      <w:numFmt w:val="decimal"/>
      <w:lvlText w:val="%1."/>
      <w:lvlJc w:val="left"/>
      <w:pPr>
        <w:ind w:left="400" w:hanging="24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0"/>
        <w:szCs w:val="20"/>
      </w:rPr>
    </w:rPrDefault>
    <w:pPrDefault>
      <w:pPr>
        <w:spacing w:after="120"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0B2545" w:sz="8" w:space="6"/>
      </w:pBdr>
      <w:spacing w:after="180" w:before="400"/>
    </w:pPr>
    <w:rPr>
      <w:rFonts w:ascii="Arial" w:cs="Arial" w:eastAsia="Arial" w:hAnsi="Arial"/>
      <w:b/>
      <w:bCs/>
      <w:color w:val="0B2545"/>
      <w:sz w:val="30"/>
      <w:szCs w:val="30"/>
    </w:rPr>
  </w:style>
  <w:style w:type="paragraph" w:styleId="Heading2">
    <w:name w:val="Heading 2"/>
    <w:basedOn w:val="Normal"/>
    <w:next w:val="Normal"/>
    <w:qFormat/>
    <w:pPr>
      <w:spacing w:after="120" w:before="300"/>
    </w:pPr>
    <w:rPr>
      <w:rFonts w:ascii="Arial" w:cs="Arial" w:eastAsia="Arial" w:hAnsi="Arial"/>
      <w:b/>
      <w:bCs/>
      <w:color w:val="0B2545"/>
      <w:sz w:val="24"/>
      <w:szCs w:val="24"/>
    </w:rPr>
  </w:style>
  <w:style w:type="paragraph" w:styleId="Heading3">
    <w:name w:val="Heading 3"/>
    <w:basedOn w:val="Normal"/>
    <w:next w:val="Normal"/>
    <w:qFormat/>
    <w:pPr>
      <w:spacing w:after="90" w:before="220"/>
    </w:pPr>
    <w:rPr>
      <w:rFonts w:ascii="Arial" w:cs="Arial" w:eastAsia="Arial" w:hAnsi="Arial"/>
      <w:b/>
      <w:bCs/>
      <w:color w:val="B3122E"/>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2026-07-30T18:05:34.214Z</dcterms:created>
  <dcterms:modified xsi:type="dcterms:W3CDTF">2026-07-30T18:05:34.215Z</dcterms:modified>
</cp:coreProperties>
</file>

<file path=docProps/custom.xml><?xml version="1.0" encoding="utf-8"?>
<Properties xmlns="http://schemas.openxmlformats.org/officeDocument/2006/custom-properties" xmlns:vt="http://schemas.openxmlformats.org/officeDocument/2006/docPropsVTypes"/>
</file>