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b/>
          <w:bCs/>
          <w:color w:val="0B2545"/>
          <w:sz w:val="26"/>
          <w:szCs w:val="26"/>
        </w:rPr>
        <w:t xml:space="preserve"/>
      </w:r>
      <w:r>
        <w:rPr>
          <w:color w:val="5A6472"/>
          <w:sz w:val="18"/>
          <w:szCs w:val="18"/>
        </w:rPr>
        <w:t xml:space="preserve">YAPAY ZEKA UYUM VE YÖNETİŞİM</w:t>
      </w:r>
    </w:p>
    <w:p>
      <w:pPr>
        <w:pBdr>
          <w:bottom w:val="single" w:color="B3122E" w:sz="16" w:space="4"/>
        </w:pBdr>
        <w:spacing w:after="300"/>
      </w:pPr>
    </w:p>
    <w:p>
      <w:pPr>
        <w:spacing w:after="100"/>
      </w:pPr>
      <w:r>
        <w:rPr>
          <w:b/>
          <w:bCs/>
          <w:color w:val="B3122E"/>
          <w:sz w:val="18"/>
          <w:szCs w:val="18"/>
        </w:rPr>
        <w:t xml:space="preserve">AIA-01</w:t>
      </w:r>
    </w:p>
    <w:p>
      <w:pPr>
        <w:spacing w:after="100"/>
      </w:pPr>
      <w:r>
        <w:rPr>
          <w:b/>
          <w:bCs/>
          <w:color w:val="0B2545"/>
          <w:sz w:val="40"/>
          <w:szCs w:val="40"/>
        </w:rPr>
        <w:t xml:space="preserve">Madde 50 Uygunluk Testi</w:t>
      </w:r>
    </w:p>
    <w:p>
      <w:pPr>
        <w:spacing w:after="400"/>
      </w:pPr>
      <w:r>
        <w:rPr>
          <w:color w:val="5A6472"/>
          <w:sz w:val="22"/>
          <w:szCs w:val="22"/>
        </w:rPr>
        <w:t xml:space="preserve">AB Yapay Zeka Tüzüğü şeffaflık yükümlülükleri — 12 soruluk karar ağacı</w:t>
      </w:r>
    </w:p>
    <w:p>
      <w:pPr>
        <w:pStyle w:val="Heading1"/>
      </w:pPr>
      <w:r>
        <w:t xml:space="preserve">0. Bu belge ne yapar</w:t>
      </w:r>
    </w:p>
    <w:p>
      <w:pPr>
        <w:jc w:val="both"/>
      </w:pPr>
      <w:r>
        <w:t xml:space="preserve">Bu test, şirketinizin AB Yapay Zeka Tüzüğü’nün (Regulation (EU) 2024/1689 — “AI Act”) 50. maddesi kapsamında olup olmadığını ve kapsamdaysa hangi fıkranın hangi somut yükümlülüğü doğurduğunu 15 dakikada tespit etmek için hazırlanmıştır.</w:t>
      </w:r>
    </w:p>
    <w:p>
      <w:pPr>
        <w:jc w:val="both"/>
      </w:pPr>
      <w:r>
        <w:t xml:space="preserve">Test üç bölümden oluşur: kapsam (Bölüm A), rol (Bölüm B) ve yükümlülük tipi (Bölüm C). Her bölümü sırayla tamamlayın; Bölüm A’da tüm cevaplar HAYIR ise diğer bölümlere geçmeyin.</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EEF1F5" w:val="clear"/>
            <w:tcMar>
              <w:top w:type="dxa" w:w="160"/>
              <w:left w:type="dxa" w:w="200"/>
              <w:bottom w:type="dxa" w:w="160"/>
              <w:right w:type="dxa" w:w="200"/>
            </w:tcMar>
          </w:tcPr>
          <w:p>
            <w:pPr>
              <w:jc w:val="both"/>
            </w:pPr>
            <w:r>
              <w:rPr>
                <w:b/>
                <w:bCs/>
                <w:i w:val="false"/>
                <w:iCs w:val="false"/>
              </w:rPr>
              <w:t xml:space="preserve">Neden şimdi. </w:t>
            </w:r>
            <w:r>
              <w:rPr>
                <w:b w:val="false"/>
                <w:bCs w:val="false"/>
                <w:i w:val="false"/>
                <w:iCs w:val="false"/>
              </w:rPr>
              <w:t xml:space="preserve">Digital Omnibus düzenlemesi, Tüzüğün yüksek riskli (Annex III) sistemlere ilişkin yükümlülüklerini 2 Aralık 2027’ye ertelemiştir. Ancak 50. maddedeki şeffaflık yükümlülükleri ertelenmemiş olup 2 Ağustos 2026 itibarıyla uygulanmaktadır. Piyasadaki yaygın “AI Act ertelendi” algısı, yalnızca yüksek risk rejimi bakımından doğrudur.</w:t>
            </w:r>
          </w:p>
        </w:tc>
      </w:tr>
    </w:tbl>
    <w:p>
      <w:pPr>
        <w:pStyle w:val="Heading1"/>
      </w:pPr>
      <w:r>
        <w:t xml:space="preserve">1. Bölüm A — Kapsam Testi (Tüzük m. 2)</w:t>
      </w:r>
    </w:p>
    <w:p>
      <w:pPr>
        <w:jc w:val="both"/>
      </w:pPr>
      <w:r>
        <w:rPr>
          <w:b w:val="false"/>
          <w:bCs w:val="false"/>
          <w:i w:val="false"/>
          <w:iCs w:val="false"/>
        </w:rPr>
        <w:t xml:space="preserve">Aşağıdaki dört sorudan </w:t>
      </w:r>
      <w:r>
        <w:rPr>
          <w:b/>
          <w:bCs/>
          <w:i w:val="false"/>
          <w:iCs w:val="false"/>
        </w:rPr>
        <w:t xml:space="preserve">en az birine</w:t>
      </w:r>
      <w:r>
        <w:rPr>
          <w:b w:val="false"/>
          <w:bCs w:val="false"/>
          <w:i w:val="false"/>
          <w:iCs w:val="false"/>
        </w:rPr>
        <w:t xml:space="preserve"> EVET cevabı veriyorsanız, Türkiye’de yerleşik olsanız ve AB’de hiçbir ofisiniz bulunmasa dahi, Tüzüğün uygulama alanı içindesiniz.</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722"/>
        <w:gridCol w:w="4690"/>
        <w:gridCol w:w="1984"/>
        <w:gridCol w:w="1624"/>
      </w:tblGrid>
      <w:tr>
        <w:trPr>
          <w:tblHeader/>
        </w:trPr>
        <w:tc>
          <w:tcPr>
            <w:tcW w:type="dxa" w:w="722"/>
            <w:shd w:fill="0B2545" w:val="clear"/>
            <w:tcMar>
              <w:top w:type="dxa" w:w="90"/>
              <w:left w:type="dxa" w:w="120"/>
              <w:bottom w:type="dxa" w:w="90"/>
              <w:right w:type="dxa" w:w="120"/>
            </w:tcMar>
          </w:tcPr>
          <w:p>
            <w:pPr>
              <w:spacing w:after="20"/>
              <w:jc w:val="left"/>
            </w:pPr>
            <w:r>
              <w:rPr>
                <w:b/>
                <w:bCs/>
                <w:color w:val="FFFFFF"/>
                <w:sz w:val="18"/>
                <w:szCs w:val="18"/>
              </w:rPr>
              <w:t xml:space="preserve">No</w:t>
            </w:r>
          </w:p>
        </w:tc>
        <w:tc>
          <w:tcPr>
            <w:tcW w:type="dxa" w:w="4690"/>
            <w:shd w:fill="0B2545" w:val="clear"/>
            <w:tcMar>
              <w:top w:type="dxa" w:w="90"/>
              <w:left w:type="dxa" w:w="120"/>
              <w:bottom w:type="dxa" w:w="90"/>
              <w:right w:type="dxa" w:w="120"/>
            </w:tcMar>
          </w:tcPr>
          <w:p>
            <w:pPr>
              <w:spacing w:after="20"/>
              <w:jc w:val="left"/>
            </w:pPr>
            <w:r>
              <w:rPr>
                <w:b/>
                <w:bCs/>
                <w:color w:val="FFFFFF"/>
                <w:sz w:val="18"/>
                <w:szCs w:val="18"/>
              </w:rPr>
              <w:t xml:space="preserve">Soru</w:t>
            </w:r>
          </w:p>
        </w:tc>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Dayanak</w:t>
            </w:r>
          </w:p>
        </w:tc>
        <w:tc>
          <w:tcPr>
            <w:tcW w:type="dxa" w:w="1624"/>
            <w:shd w:fill="0B2545" w:val="clear"/>
            <w:tcMar>
              <w:top w:type="dxa" w:w="90"/>
              <w:left w:type="dxa" w:w="120"/>
              <w:bottom w:type="dxa" w:w="90"/>
              <w:right w:type="dxa" w:w="120"/>
            </w:tcMar>
          </w:tcPr>
          <w:p>
            <w:pPr>
              <w:spacing w:after="20"/>
              <w:jc w:val="left"/>
            </w:pPr>
            <w:r>
              <w:rPr>
                <w:b/>
                <w:bCs/>
                <w:color w:val="FFFFFF"/>
                <w:sz w:val="18"/>
                <w:szCs w:val="18"/>
              </w:rPr>
              <w:t xml:space="preserve">Cevap</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A1</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Şirketinizin AB içinde yerleşik bir şubesi, iştiraki veya ticari varlığı var mı?</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2(1)(b)</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E   ☐ H</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A2</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Geliştirdiğiniz veya sizin adınıza geliştirilen bir YZ sistemini, kendi adınız ya da markanız altında AB pazarına sunuyor musunuz? (ücretli veya ücretsiz fark etmez)</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2(1)(a)</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E   ☐ H</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A3</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Ürününüzü, hizmetinizi veya web sitenizi AB’de bulunan kişiler kullanıyor mu?</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2(1)(a)-(c)</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E   ☐ H</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A4</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Yapay zeka sisteminizin ÇIKTISI AB içinde kullanılıyor mu? (örn. Türkiye’den ürettiğiniz metin, görsel, skor veya öneri bir AB müşterisine ulaşıyorsa)</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2(1)(c)</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E   ☐ H</w:t>
            </w:r>
          </w:p>
        </w:tc>
      </w:tr>
    </w:tbl>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EEF1F5" w:val="clear"/>
            <w:tcMar>
              <w:top w:type="dxa" w:w="160"/>
              <w:left w:type="dxa" w:w="200"/>
              <w:bottom w:type="dxa" w:w="160"/>
              <w:right w:type="dxa" w:w="200"/>
            </w:tcMar>
          </w:tcPr>
          <w:p>
            <w:pPr>
              <w:jc w:val="both"/>
            </w:pPr>
            <w:r>
              <w:rPr>
                <w:b/>
                <w:bCs/>
                <w:i w:val="false"/>
                <w:iCs w:val="false"/>
              </w:rPr>
              <w:t xml:space="preserve">A4 en sık gözden kaçan maddedir. </w:t>
            </w:r>
            <w:r>
              <w:rPr>
                <w:b w:val="false"/>
                <w:bCs w:val="false"/>
                <w:i w:val="false"/>
                <w:iCs w:val="false"/>
              </w:rPr>
              <w:t xml:space="preserve">Tüzük, sağlayıcı veya uygulayıcı üçüncü bir ülkede yerleşik olsa bile, sistemin çıktısının Birlik içinde kullanılması hâlinde uygulanır. Ankara’dan çalışan, sunucuları Türkiye’de olan, hiç AB ofisi bulunmayan bir yazılım şirketi; Almanya’daki bir müşterisinin sitesinde çalışan bir sohbet asistanı sağlıyorsa kapsamdadır.</w:t>
            </w:r>
          </w:p>
        </w:tc>
      </w:tr>
    </w:tbl>
    <w:p>
      <w:pPr>
        <w:jc w:val="both"/>
      </w:pPr>
      <w:r>
        <w:rPr>
          <w:b/>
          <w:bCs/>
          <w:i w:val="false"/>
          <w:iCs w:val="false"/>
        </w:rPr>
        <w:t xml:space="preserve">Sonuç: </w:t>
      </w:r>
      <w:r>
        <w:rPr>
          <w:b w:val="false"/>
          <w:bCs w:val="false"/>
          <w:i w:val="false"/>
          <w:iCs w:val="false"/>
        </w:rPr>
        <w:t xml:space="preserve">Tüm cevaplar HAYIR ise bu testi sonlandırın ve sonucu Uyum Kayıt Defteri’ne “kapsam dışı” olarak, gerekçesi ve tarihi ile birlikte kaydedin. En az bir EVET varsa Bölüm B’ye geçin.</w:t>
      </w:r>
    </w:p>
    <w:p>
      <w:pPr>
        <w:pStyle w:val="Heading1"/>
      </w:pPr>
      <w:r>
        <w:t xml:space="preserve">2. Bölüm B — Rol Testi (m. 3(3), m. 3(4), m. 25)</w:t>
      </w:r>
    </w:p>
    <w:p>
      <w:pPr>
        <w:jc w:val="both"/>
      </w:pPr>
      <w:r>
        <w:t xml:space="preserve">50. maddedeki yükümlülüklerin bir kısmı sağlayıcıya (provider), bir kısmı uygulayıcıya (deployer) aittir. Rolünüzü yanlış belirlerseniz doğru belgeleri üretseniz bile uyumsuz kalırsınız.</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722"/>
        <w:gridCol w:w="4871"/>
        <w:gridCol w:w="1984"/>
        <w:gridCol w:w="1443"/>
      </w:tblGrid>
      <w:tr>
        <w:trPr>
          <w:tblHeader/>
        </w:trPr>
        <w:tc>
          <w:tcPr>
            <w:tcW w:type="dxa" w:w="722"/>
            <w:shd w:fill="0B2545" w:val="clear"/>
            <w:tcMar>
              <w:top w:type="dxa" w:w="90"/>
              <w:left w:type="dxa" w:w="120"/>
              <w:bottom w:type="dxa" w:w="90"/>
              <w:right w:type="dxa" w:w="120"/>
            </w:tcMar>
          </w:tcPr>
          <w:p>
            <w:pPr>
              <w:spacing w:after="20"/>
              <w:jc w:val="left"/>
            </w:pPr>
            <w:r>
              <w:rPr>
                <w:b/>
                <w:bCs/>
                <w:color w:val="FFFFFF"/>
                <w:sz w:val="18"/>
                <w:szCs w:val="18"/>
              </w:rPr>
              <w:t xml:space="preserve">No</w:t>
            </w:r>
          </w:p>
        </w:tc>
        <w:tc>
          <w:tcPr>
            <w:tcW w:type="dxa" w:w="4871"/>
            <w:shd w:fill="0B2545" w:val="clear"/>
            <w:tcMar>
              <w:top w:type="dxa" w:w="90"/>
              <w:left w:type="dxa" w:w="120"/>
              <w:bottom w:type="dxa" w:w="90"/>
              <w:right w:type="dxa" w:w="120"/>
            </w:tcMar>
          </w:tcPr>
          <w:p>
            <w:pPr>
              <w:spacing w:after="20"/>
              <w:jc w:val="left"/>
            </w:pPr>
            <w:r>
              <w:rPr>
                <w:b/>
                <w:bCs/>
                <w:color w:val="FFFFFF"/>
                <w:sz w:val="18"/>
                <w:szCs w:val="18"/>
              </w:rPr>
              <w:t xml:space="preserve">Soru</w:t>
            </w:r>
          </w:p>
        </w:tc>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EVET ise rolünüz</w:t>
            </w:r>
          </w:p>
        </w:tc>
        <w:tc>
          <w:tcPr>
            <w:tcW w:type="dxa" w:w="1443"/>
            <w:shd w:fill="0B2545" w:val="clear"/>
            <w:tcMar>
              <w:top w:type="dxa" w:w="90"/>
              <w:left w:type="dxa" w:w="120"/>
              <w:bottom w:type="dxa" w:w="90"/>
              <w:right w:type="dxa" w:w="120"/>
            </w:tcMar>
          </w:tcPr>
          <w:p>
            <w:pPr>
              <w:spacing w:after="20"/>
              <w:jc w:val="left"/>
            </w:pPr>
            <w:r>
              <w:rPr>
                <w:b/>
                <w:bCs/>
                <w:color w:val="FFFFFF"/>
                <w:sz w:val="18"/>
                <w:szCs w:val="18"/>
              </w:rPr>
              <w:t xml:space="preserve">Cevap</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B1</w:t>
            </w:r>
          </w:p>
        </w:tc>
        <w:tc>
          <w:tcPr>
            <w:tcW w:type="dxa" w:w="4871"/>
            <w:shd w:fill="FFFFFF" w:val="clear"/>
            <w:tcMar>
              <w:top w:type="dxa" w:w="90"/>
              <w:left w:type="dxa" w:w="120"/>
              <w:bottom w:type="dxa" w:w="90"/>
              <w:right w:type="dxa" w:w="120"/>
            </w:tcMar>
          </w:tcPr>
          <w:p>
            <w:pPr>
              <w:spacing w:after="20"/>
              <w:jc w:val="left"/>
            </w:pPr>
            <w:r>
              <w:rPr>
                <w:b w:val="false"/>
                <w:bCs w:val="false"/>
                <w:color w:val="1A1A1A"/>
                <w:sz w:val="18"/>
                <w:szCs w:val="18"/>
              </w:rPr>
              <w:t xml:space="preserve">Sistemi siz mi geliştirdiniz ya da sizin adınıza mı geliştirildi ve kendi adınız/markanız altında mı piyasaya sunuyorsunuz veya hizmete alıyorsunuz?</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SAĞLAYICI (m. 3(3))</w:t>
            </w:r>
          </w:p>
        </w:tc>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E   ☐ H</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B2</w:t>
            </w:r>
          </w:p>
        </w:tc>
        <w:tc>
          <w:tcPr>
            <w:tcW w:type="dxa" w:w="4871"/>
            <w:shd w:fill="FFFFFF" w:val="clear"/>
            <w:tcMar>
              <w:top w:type="dxa" w:w="90"/>
              <w:left w:type="dxa" w:w="120"/>
              <w:bottom w:type="dxa" w:w="90"/>
              <w:right w:type="dxa" w:w="120"/>
            </w:tcMar>
          </w:tcPr>
          <w:p>
            <w:pPr>
              <w:spacing w:after="20"/>
              <w:jc w:val="left"/>
            </w:pPr>
            <w:r>
              <w:rPr>
                <w:b w:val="false"/>
                <w:bCs w:val="false"/>
                <w:color w:val="1A1A1A"/>
                <w:sz w:val="18"/>
                <w:szCs w:val="18"/>
              </w:rPr>
              <w:t xml:space="preserve">Üçüncü taraf bir YZ sistemini (OpenAI, Anthropic, Google, Microsoft vb.) kendi yetkiniz altında, mesleki faaliyetinizde kullanıyor musunuz?</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UYGULAYICI (m. 3(4))</w:t>
            </w:r>
          </w:p>
        </w:tc>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E   ☐ H</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B3</w:t>
            </w:r>
          </w:p>
        </w:tc>
        <w:tc>
          <w:tcPr>
            <w:tcW w:type="dxa" w:w="4871"/>
            <w:shd w:fill="FFFFFF" w:val="clear"/>
            <w:tcMar>
              <w:top w:type="dxa" w:w="90"/>
              <w:left w:type="dxa" w:w="120"/>
              <w:bottom w:type="dxa" w:w="90"/>
              <w:right w:type="dxa" w:w="120"/>
            </w:tcMar>
          </w:tcPr>
          <w:p>
            <w:pPr>
              <w:spacing w:after="20"/>
              <w:jc w:val="left"/>
            </w:pPr>
            <w:r>
              <w:rPr>
                <w:b w:val="false"/>
                <w:bCs w:val="false"/>
                <w:color w:val="1A1A1A"/>
                <w:sz w:val="18"/>
                <w:szCs w:val="18"/>
              </w:rPr>
              <w:t xml:space="preserve">Üçüncü taraf bir sistemi KENDİ MARKANIZLA mı sunuyorsunuz; sistemde esaslı bir değişiklik mi yaptınız; ya da kullanım amacını mı değiştirdiniz?</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SAĞLAYICI sayılırsınız (m. 25)</w:t>
            </w:r>
          </w:p>
        </w:tc>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E   ☐ H</w:t>
            </w:r>
          </w:p>
        </w:tc>
      </w:tr>
    </w:tbl>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FDECEE" w:val="clear"/>
            <w:tcMar>
              <w:top w:type="dxa" w:w="160"/>
              <w:left w:type="dxa" w:w="200"/>
              <w:bottom w:type="dxa" w:w="160"/>
              <w:right w:type="dxa" w:w="200"/>
            </w:tcMar>
          </w:tcPr>
          <w:p>
            <w:pPr>
              <w:jc w:val="both"/>
            </w:pPr>
            <w:r>
              <w:rPr>
                <w:b/>
                <w:bCs/>
                <w:i w:val="false"/>
                <w:iCs w:val="false"/>
              </w:rPr>
              <w:t xml:space="preserve">B3 — kitin en pahalı sorusu. </w:t>
            </w:r>
            <w:r>
              <w:rPr>
                <w:b w:val="false"/>
                <w:bCs w:val="false"/>
                <w:i w:val="false"/>
                <w:iCs w:val="false"/>
              </w:rPr>
              <w:t xml:space="preserve">Bir dil modelini API üzerinden çağırıp müşterilerinize “ACME Asistan” adıyla sunan bir SaaS şirketi, kendini “sadece kullanıcı” sanır. Tüzük m. 25 uyarınca bu şirket sağlayıcı sayılır ve m. 50(1) ile m. 50(2) yükümlülüklerini üstlenir. Türkiye’deki beyaz etiketli (white-label) YZ ürünlerinin büyük çoğunluğu bu kapsamdadır.</w:t>
            </w:r>
          </w:p>
        </w:tc>
      </w:tr>
    </w:tbl>
    <w:p>
      <w:pPr>
        <w:pStyle w:val="Heading1"/>
      </w:pPr>
      <w:r>
        <w:t xml:space="preserve">3. Bölüm C — Madde 50 Fıkra Testi</w:t>
      </w:r>
    </w:p>
    <w:p>
      <w:pPr>
        <w:jc w:val="both"/>
      </w:pPr>
      <w:r>
        <w:t xml:space="preserve">Bölüm A’da kapsam içindeyseniz, aşağıdaki beş sorunun her birini ayrı ayrı yanıtlayın. Birden fazla fıkra aynı anda uygulanabilir.</w:t>
      </w:r>
    </w:p>
    <w:p>
      <w:pPr>
        <w:pStyle w:val="Heading3"/>
      </w:pPr>
      <w:r>
        <w:t xml:space="preserve">C1 — Madde 50(1): İnsanla doğrudan etkileşim</w:t>
      </w:r>
    </w:p>
    <w:p>
      <w:pPr>
        <w:jc w:val="both"/>
      </w:pPr>
      <w:r>
        <w:t xml:space="preserve">Sisteminiz gerçek kişilerle doğrudan etkileşime girmek üzere tasarlanmış mı? (web sohbet robotu, sesli asistan, otomatik WhatsApp/çağrı merkezi yanıtlayıcısı, karşılama botu)</w:t>
      </w:r>
    </w:p>
    <w:p>
      <w:pPr>
        <w:pStyle w:val="ListParagraph"/>
        <w:numPr>
          <w:ilvl w:val="0"/>
          <w:numId w:val="2"/>
        </w:numPr>
        <w:spacing w:after="60"/>
        <w:jc w:val="left"/>
      </w:pPr>
      <w:r>
        <w:rPr>
          <w:b/>
          <w:bCs/>
          <w:i w:val="false"/>
          <w:iCs w:val="false"/>
        </w:rPr>
        <w:t xml:space="preserve">Yükümlü: </w:t>
      </w:r>
      <w:r>
        <w:rPr>
          <w:b w:val="false"/>
          <w:bCs w:val="false"/>
          <w:i w:val="false"/>
          <w:iCs w:val="false"/>
        </w:rPr>
        <w:t xml:space="preserve">SAĞLAYICI. Sistem, kişilerin bir yapay zeka sistemiyle etkileştiğini öğrenecek şekilde tasarlanmalı ve geliştirilmelidir.</w:t>
      </w:r>
    </w:p>
    <w:p>
      <w:pPr>
        <w:pStyle w:val="ListParagraph"/>
        <w:numPr>
          <w:ilvl w:val="0"/>
          <w:numId w:val="2"/>
        </w:numPr>
        <w:spacing w:after="60"/>
        <w:jc w:val="left"/>
      </w:pPr>
      <w:r>
        <w:rPr>
          <w:b/>
          <w:bCs/>
          <w:i w:val="false"/>
          <w:iCs w:val="false"/>
        </w:rPr>
        <w:t xml:space="preserve">İstisna: </w:t>
      </w:r>
      <w:r>
        <w:rPr>
          <w:b w:val="false"/>
          <w:bCs w:val="false"/>
          <w:i w:val="false"/>
          <w:iCs w:val="false"/>
        </w:rPr>
        <w:t xml:space="preserve">Durumun, makul ölçüde bilgili, gözlem yeteneği olan ve dikkatli bir kişi bakımından, kullanım koşulları ve bağlamı dikkate alındığında bariz olması.</w:t>
      </w:r>
    </w:p>
    <w:p>
      <w:pPr>
        <w:pStyle w:val="ListParagraph"/>
        <w:numPr>
          <w:ilvl w:val="0"/>
          <w:numId w:val="2"/>
        </w:numPr>
        <w:spacing w:after="60"/>
        <w:jc w:val="left"/>
      </w:pPr>
      <w:r>
        <w:rPr>
          <w:b/>
          <w:bCs/>
          <w:i w:val="false"/>
          <w:iCs w:val="false"/>
        </w:rPr>
        <w:t xml:space="preserve">İlgili şablon: </w:t>
      </w:r>
      <w:r>
        <w:rPr>
          <w:b w:val="false"/>
          <w:bCs w:val="false"/>
          <w:i w:val="false"/>
          <w:iCs w:val="false"/>
        </w:rPr>
        <w:t xml:space="preserve">Belge 02 — Sohbet Robotu ve Etkileşim İfşa Metinleri.</w:t>
      </w:r>
    </w:p>
    <w:p>
      <w:pPr>
        <w:pStyle w:val="Heading3"/>
      </w:pPr>
      <w:r>
        <w:t xml:space="preserve">C2 — Madde 50(2): Sentetik içerik üretimi</w:t>
      </w:r>
    </w:p>
    <w:p>
      <w:pPr>
        <w:jc w:val="both"/>
      </w:pPr>
      <w:r>
        <w:t xml:space="preserve">Sisteminiz sentetik ses, görüntü, video veya metin üretiyor mu? (genel amaçlı YZ sistemleri dâhil)</w:t>
      </w:r>
    </w:p>
    <w:p>
      <w:pPr>
        <w:pStyle w:val="ListParagraph"/>
        <w:numPr>
          <w:ilvl w:val="0"/>
          <w:numId w:val="2"/>
        </w:numPr>
        <w:spacing w:after="60"/>
        <w:jc w:val="left"/>
      </w:pPr>
      <w:r>
        <w:rPr>
          <w:b/>
          <w:bCs/>
          <w:i w:val="false"/>
          <w:iCs w:val="false"/>
        </w:rPr>
        <w:t xml:space="preserve">Yükümlü: </w:t>
      </w:r>
      <w:r>
        <w:rPr>
          <w:b w:val="false"/>
          <w:bCs w:val="false"/>
          <w:i w:val="false"/>
          <w:iCs w:val="false"/>
        </w:rPr>
        <w:t xml:space="preserve">SAĞLAYICI. Çıktılar makine tarafından okunabilir bir formatta işaretlenmeli ve yapay olarak üretildiği ya da değiştirildiği tespit edilebilmelidir. Teknik çözümler; içerik türlerinin özellikleri ve sınırları, uygulama maliyetleri ve teknolojinin genel kabul görmüş güncel düzeyi dikkate alınarak, teknik olarak mümkün olduğu ölçüde etkin, birlikte çalışabilir, sağlam ve güvenilir olmalıdır.</w:t>
      </w:r>
    </w:p>
    <w:p>
      <w:pPr>
        <w:pStyle w:val="ListParagraph"/>
        <w:numPr>
          <w:ilvl w:val="0"/>
          <w:numId w:val="2"/>
        </w:numPr>
        <w:spacing w:after="60"/>
        <w:jc w:val="left"/>
      </w:pPr>
      <w:r>
        <w:rPr>
          <w:b/>
          <w:bCs/>
          <w:i w:val="false"/>
          <w:iCs w:val="false"/>
        </w:rPr>
        <w:t xml:space="preserve">İstisna: </w:t>
      </w:r>
      <w:r>
        <w:rPr>
          <w:b w:val="false"/>
          <w:bCs w:val="false"/>
          <w:i w:val="false"/>
          <w:iCs w:val="false"/>
        </w:rPr>
        <w:t xml:space="preserve">Sistemin standart düzenleme (editing) için yardımcı bir işlev görmesi ya da uygulayıcının sağladığı girdi verisini veya bunun anlamını esaslı biçimde değiştirmemesi.</w:t>
      </w:r>
    </w:p>
    <w:p>
      <w:pPr>
        <w:pStyle w:val="ListParagraph"/>
        <w:numPr>
          <w:ilvl w:val="0"/>
          <w:numId w:val="2"/>
        </w:numPr>
        <w:spacing w:after="60"/>
        <w:jc w:val="left"/>
      </w:pPr>
      <w:r>
        <w:rPr>
          <w:b/>
          <w:bCs/>
          <w:i w:val="false"/>
          <w:iCs w:val="false"/>
        </w:rPr>
        <w:t xml:space="preserve">İlgili şablon: </w:t>
      </w:r>
      <w:r>
        <w:rPr>
          <w:b w:val="false"/>
          <w:bCs w:val="false"/>
          <w:i w:val="false"/>
          <w:iCs w:val="false"/>
        </w:rPr>
        <w:t xml:space="preserve">Belge 03 — Sentetik İçerik İşaretleme ve Etiketleme Politikası.</w:t>
      </w:r>
    </w:p>
    <w:p>
      <w:pPr>
        <w:pStyle w:val="Heading3"/>
      </w:pPr>
      <w:r>
        <w:t xml:space="preserve">C3 — Madde 50(3): Duygu tanıma ve biyometrik sınıflandırma</w:t>
      </w:r>
    </w:p>
    <w:p>
      <w:pPr>
        <w:jc w:val="both"/>
      </w:pPr>
      <w:r>
        <w:t xml:space="preserve">Duygu tanıma sistemi veya biyometrik sınıflandırma sistemi kullanıyor musunuz? (çağrı merkezinde ses tonundan memnuniyet analizi, mülakat videolarında yüz ifadesi analizi, mağaza kamerasında demografik sınıflandırma)</w:t>
      </w:r>
    </w:p>
    <w:p>
      <w:pPr>
        <w:pStyle w:val="ListParagraph"/>
        <w:numPr>
          <w:ilvl w:val="0"/>
          <w:numId w:val="2"/>
        </w:numPr>
        <w:spacing w:after="60"/>
        <w:jc w:val="left"/>
      </w:pPr>
      <w:r>
        <w:rPr>
          <w:b/>
          <w:bCs/>
          <w:i w:val="false"/>
          <w:iCs w:val="false"/>
        </w:rPr>
        <w:t xml:space="preserve">Yükümlü: </w:t>
      </w:r>
      <w:r>
        <w:rPr>
          <w:b w:val="false"/>
          <w:bCs w:val="false"/>
          <w:i w:val="false"/>
          <w:iCs w:val="false"/>
        </w:rPr>
        <w:t xml:space="preserve">UYGULAYICI. Sisteme maruz kalan gerçek kişiler sistemin işleyişi hakkında bilgilendirilmeli; kişisel veriler GDPR ve ilgili AB mevzuatına uygun işlenmelidir. Türkiye ayağında KVKK m. 5-6 ve açık rıza/aydınlatma yükümlülükleri ayrıca değerlendirilmelidir.</w:t>
      </w:r>
    </w:p>
    <w:p>
      <w:pPr>
        <w:pStyle w:val="ListParagraph"/>
        <w:numPr>
          <w:ilvl w:val="0"/>
          <w:numId w:val="2"/>
        </w:numPr>
        <w:spacing w:after="60"/>
        <w:jc w:val="left"/>
      </w:pPr>
      <w:r>
        <w:rPr>
          <w:b/>
          <w:bCs/>
          <w:i w:val="false"/>
          <w:iCs w:val="false"/>
        </w:rPr>
        <w:t xml:space="preserve">Ek uyarı: </w:t>
      </w:r>
      <w:r>
        <w:rPr>
          <w:b w:val="false"/>
          <w:bCs w:val="false"/>
          <w:i w:val="false"/>
          <w:iCs w:val="false"/>
        </w:rPr>
        <w:t xml:space="preserve">İşyerinde ve eğitim kurumlarında duygu tanıma, Tüzüğün 5. maddesi kapsamında yasaklı uygulamalar arasındadır. Bu cevaba EVET diyorsanız, önce yasak kapsamında olup olmadığınızı ayrıca değerlendirin.</w:t>
      </w:r>
    </w:p>
    <w:p>
      <w:pPr>
        <w:pStyle w:val="Heading3"/>
      </w:pPr>
      <w:r>
        <w:t xml:space="preserve">C4 — Madde 50(4) birinci fıkra: Deepfake</w:t>
      </w:r>
    </w:p>
    <w:p>
      <w:pPr>
        <w:jc w:val="both"/>
      </w:pPr>
      <w:r>
        <w:t xml:space="preserve">Görüntü, ses veya video içeriği üretiyor ya da manipüle ediyor ve bu içerik gerçek kişilere, nesnelere, yerlere veya olaylara benzerlik gösterip bir kişiye gerçekmiş gibi görünüyor mu?</w:t>
      </w:r>
    </w:p>
    <w:p>
      <w:pPr>
        <w:pStyle w:val="ListParagraph"/>
        <w:numPr>
          <w:ilvl w:val="0"/>
          <w:numId w:val="2"/>
        </w:numPr>
        <w:spacing w:after="60"/>
        <w:jc w:val="left"/>
      </w:pPr>
      <w:r>
        <w:rPr>
          <w:b/>
          <w:bCs/>
          <w:i w:val="false"/>
          <w:iCs w:val="false"/>
        </w:rPr>
        <w:t xml:space="preserve">Yükümlü: </w:t>
      </w:r>
      <w:r>
        <w:rPr>
          <w:b w:val="false"/>
          <w:bCs w:val="false"/>
          <w:i w:val="false"/>
          <w:iCs w:val="false"/>
        </w:rPr>
        <w:t xml:space="preserve">UYGULAYICI. İçeriğin yapay olarak üretildiği veya değiştirildiği açıklanmalıdır.</w:t>
      </w:r>
    </w:p>
    <w:p>
      <w:pPr>
        <w:pStyle w:val="ListParagraph"/>
        <w:numPr>
          <w:ilvl w:val="0"/>
          <w:numId w:val="2"/>
        </w:numPr>
        <w:spacing w:after="60"/>
        <w:jc w:val="left"/>
      </w:pPr>
      <w:r>
        <w:rPr>
          <w:b/>
          <w:bCs/>
          <w:i w:val="false"/>
          <w:iCs w:val="false"/>
        </w:rPr>
        <w:t xml:space="preserve">Sınırlı istisna: </w:t>
      </w:r>
      <w:r>
        <w:rPr>
          <w:b w:val="false"/>
          <w:bCs w:val="false"/>
          <w:i w:val="false"/>
          <w:iCs w:val="false"/>
        </w:rPr>
        <w:t xml:space="preserve">İçerik açıkça sanatsal, yaratıcı, hicivsel, kurgusal veya benzeri bir eserin parçasıysa, ifşa yükümlülüğü eserin gösterimini veya izlenmesini engellemeyecek uygun bir biçimde varlığın açıklanmasıyla sınırlıdır. Bu, ifşadan tamamen muafiyet anlamına gelmez.</w:t>
      </w:r>
    </w:p>
    <w:p>
      <w:pPr>
        <w:pStyle w:val="Heading3"/>
      </w:pPr>
      <w:r>
        <w:t xml:space="preserve">C5 — Madde 50(4) ikinci fıkra: Kamu yararına metin</w:t>
      </w:r>
    </w:p>
    <w:p>
      <w:pPr>
        <w:jc w:val="both"/>
      </w:pPr>
      <w:r>
        <w:t xml:space="preserve">Kamuoyunu kamu yararına ilişkin konularda bilgilendirmek amacıyla yayımlanan metinleri yapay zeka ile üretiyor veya değiştiriyor musunuz? (haber bülteni, sektörel analiz, kamuya açık raporlar)</w:t>
      </w:r>
    </w:p>
    <w:p>
      <w:pPr>
        <w:pStyle w:val="ListParagraph"/>
        <w:numPr>
          <w:ilvl w:val="0"/>
          <w:numId w:val="2"/>
        </w:numPr>
        <w:spacing w:after="60"/>
        <w:jc w:val="left"/>
      </w:pPr>
      <w:r>
        <w:rPr>
          <w:b/>
          <w:bCs/>
          <w:i w:val="false"/>
          <w:iCs w:val="false"/>
        </w:rPr>
        <w:t xml:space="preserve">Yükümlü: </w:t>
      </w:r>
      <w:r>
        <w:rPr>
          <w:b w:val="false"/>
          <w:bCs w:val="false"/>
          <w:i w:val="false"/>
          <w:iCs w:val="false"/>
        </w:rPr>
        <w:t xml:space="preserve">UYGULAYICI. Metnin yapay olarak üretildiği veya değiştirildiği açıklanmalıdır.</w:t>
      </w:r>
    </w:p>
    <w:p>
      <w:pPr>
        <w:pStyle w:val="ListParagraph"/>
        <w:numPr>
          <w:ilvl w:val="0"/>
          <w:numId w:val="2"/>
        </w:numPr>
        <w:spacing w:after="60"/>
        <w:jc w:val="left"/>
      </w:pPr>
      <w:r>
        <w:rPr>
          <w:b/>
          <w:bCs/>
          <w:i w:val="false"/>
          <w:iCs w:val="false"/>
        </w:rPr>
        <w:t xml:space="preserve">İstisna: </w:t>
      </w:r>
      <w:r>
        <w:rPr>
          <w:b w:val="false"/>
          <w:bCs w:val="false"/>
          <w:i w:val="false"/>
          <w:iCs w:val="false"/>
        </w:rPr>
        <w:t xml:space="preserve">İçerik insan incelemesinden veya editoryal kontrolden geçmişse ve yayımın editoryal sorumluluğunu üstlenen bir gerçek veya tüzel kişi varsa ifşa yükümlülüğü doğmaz. Bu istisnadan yararlanmak için editoryal sorumluluğun belgelenmiş olması gerekir — Belge 05’teki içerik onay kaydı bu amaca hizmet eder.</w:t>
      </w:r>
    </w:p>
    <w:p>
      <w:pPr>
        <w:pStyle w:val="Heading2"/>
      </w:pPr>
      <w:r>
        <w:t xml:space="preserve">3.1. Tüm fıkralar için ortak kural (m. 50(5))</w:t>
      </w:r>
    </w:p>
    <w:p>
      <w:pPr>
        <w:jc w:val="both"/>
      </w:pPr>
      <w:r>
        <w:t xml:space="preserve">Yukarıdaki bilgilendirmeler, ilgili gerçek kişilere en geç ilk etkileşim veya ilk maruz kalma anında, açık ve ayırt edilebilir biçimde sunulmalıdır. Bilgilendirme, uygulanabilir erişilebilirlik gerekliliklerine de uygun olmalıdır. Ayarlar menüsünde, kullanım koşulları metninin içinde veya sohbet geçmişinin altında verilen bir açıklama bu şartı karşılamaz.</w:t>
      </w:r>
    </w:p>
    <w:p>
      <w:pPr>
        <w:pStyle w:val="Heading1"/>
      </w:pPr>
      <w:r>
        <w:t xml:space="preserve">4. Sonuç Matrisi</w:t>
      </w:r>
    </w:p>
    <w:p>
      <w:pPr>
        <w:jc w:val="both"/>
      </w:pPr>
      <w:r>
        <w:t xml:space="preserve">Bölüm C’de EVET dediğiniz her satır için karşılık gelen belgeyi uyarlayın ve Uyum Kayıt Defteri’ne (Belge 06) işleyin.</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443"/>
        <w:gridCol w:w="1263"/>
        <w:gridCol w:w="1624"/>
        <w:gridCol w:w="4690"/>
      </w:tblGrid>
      <w:tr>
        <w:trPr>
          <w:tblHeader/>
        </w:trPr>
        <w:tc>
          <w:tcPr>
            <w:tcW w:type="dxa" w:w="1443"/>
            <w:shd w:fill="0B2545" w:val="clear"/>
            <w:tcMar>
              <w:top w:type="dxa" w:w="90"/>
              <w:left w:type="dxa" w:w="120"/>
              <w:bottom w:type="dxa" w:w="90"/>
              <w:right w:type="dxa" w:w="120"/>
            </w:tcMar>
          </w:tcPr>
          <w:p>
            <w:pPr>
              <w:spacing w:after="20"/>
              <w:jc w:val="left"/>
            </w:pPr>
            <w:r>
              <w:rPr>
                <w:b/>
                <w:bCs/>
                <w:color w:val="FFFFFF"/>
                <w:sz w:val="18"/>
                <w:szCs w:val="18"/>
              </w:rPr>
              <w:t xml:space="preserve">EVET olan soru</w:t>
            </w:r>
          </w:p>
        </w:tc>
        <w:tc>
          <w:tcPr>
            <w:tcW w:type="dxa" w:w="1263"/>
            <w:shd w:fill="0B2545" w:val="clear"/>
            <w:tcMar>
              <w:top w:type="dxa" w:w="90"/>
              <w:left w:type="dxa" w:w="120"/>
              <w:bottom w:type="dxa" w:w="90"/>
              <w:right w:type="dxa" w:w="120"/>
            </w:tcMar>
          </w:tcPr>
          <w:p>
            <w:pPr>
              <w:spacing w:after="20"/>
              <w:jc w:val="left"/>
            </w:pPr>
            <w:r>
              <w:rPr>
                <w:b/>
                <w:bCs/>
                <w:color w:val="FFFFFF"/>
                <w:sz w:val="18"/>
                <w:szCs w:val="18"/>
              </w:rPr>
              <w:t xml:space="preserve">Dayanak</w:t>
            </w:r>
          </w:p>
        </w:tc>
        <w:tc>
          <w:tcPr>
            <w:tcW w:type="dxa" w:w="1624"/>
            <w:shd w:fill="0B2545" w:val="clear"/>
            <w:tcMar>
              <w:top w:type="dxa" w:w="90"/>
              <w:left w:type="dxa" w:w="120"/>
              <w:bottom w:type="dxa" w:w="90"/>
              <w:right w:type="dxa" w:w="120"/>
            </w:tcMar>
          </w:tcPr>
          <w:p>
            <w:pPr>
              <w:spacing w:after="20"/>
              <w:jc w:val="left"/>
            </w:pPr>
            <w:r>
              <w:rPr>
                <w:b/>
                <w:bCs/>
                <w:color w:val="FFFFFF"/>
                <w:sz w:val="18"/>
                <w:szCs w:val="18"/>
              </w:rPr>
              <w:t xml:space="preserve">Yükümlü taraf</w:t>
            </w:r>
          </w:p>
        </w:tc>
        <w:tc>
          <w:tcPr>
            <w:tcW w:type="dxa" w:w="4690"/>
            <w:shd w:fill="0B2545" w:val="clear"/>
            <w:tcMar>
              <w:top w:type="dxa" w:w="90"/>
              <w:left w:type="dxa" w:w="120"/>
              <w:bottom w:type="dxa" w:w="90"/>
              <w:right w:type="dxa" w:w="120"/>
            </w:tcMar>
          </w:tcPr>
          <w:p>
            <w:pPr>
              <w:spacing w:after="20"/>
              <w:jc w:val="left"/>
            </w:pPr>
            <w:r>
              <w:rPr>
                <w:b/>
                <w:bCs/>
                <w:color w:val="FFFFFF"/>
                <w:sz w:val="18"/>
                <w:szCs w:val="18"/>
              </w:rPr>
              <w:t xml:space="preserve">Uygulanacak belge</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C1</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50(1)</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Sağlayıcı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Belge 02 (ifşa metinleri)</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C2</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50(2)</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Sağlayıcı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Belge 03 (işaretleme politikası)</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C3</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50(3)</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Uygulayıcı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Belge 03 §6 + KVKK/GDPR aydınlatma</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C4</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50(4)/1</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Uygulayıcı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Belge 03 §5</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C5</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50(4)/2</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Uygulayıcı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Belge 05 (editoryal onay kaydı)</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B3</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25</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Sağlayıcı sayılan</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Belge 04 (tedarikçi YZ eki) — rol devri sözleşmede netleştirilmeli</w:t>
            </w:r>
          </w:p>
        </w:tc>
      </w:tr>
    </w:tbl>
    <w:p>
      <w:pPr>
        <w:pStyle w:val="Heading1"/>
      </w:pPr>
      <w:r>
        <w:t xml:space="preserve">5. Uygulama Takvimi (Digital Omnibus sonrası)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804"/>
        <w:gridCol w:w="7216"/>
      </w:tblGrid>
      <w:tr>
        <w:trPr>
          <w:tblHeader/>
        </w:trPr>
        <w:tc>
          <w:tcPr>
            <w:tcW w:type="dxa" w:w="1804"/>
            <w:shd w:fill="0B2545" w:val="clear"/>
            <w:tcMar>
              <w:top w:type="dxa" w:w="90"/>
              <w:left w:type="dxa" w:w="120"/>
              <w:bottom w:type="dxa" w:w="90"/>
              <w:right w:type="dxa" w:w="120"/>
            </w:tcMar>
          </w:tcPr>
          <w:p>
            <w:pPr>
              <w:spacing w:after="20"/>
              <w:jc w:val="left"/>
            </w:pPr>
            <w:r>
              <w:rPr>
                <w:b/>
                <w:bCs/>
                <w:color w:val="FFFFFF"/>
                <w:sz w:val="18"/>
                <w:szCs w:val="18"/>
              </w:rPr>
              <w:t xml:space="preserve">Tarih</w:t>
            </w:r>
          </w:p>
        </w:tc>
        <w:tc>
          <w:tcPr>
            <w:tcW w:type="dxa" w:w="7216"/>
            <w:shd w:fill="0B2545" w:val="clear"/>
            <w:tcMar>
              <w:top w:type="dxa" w:w="90"/>
              <w:left w:type="dxa" w:w="120"/>
              <w:bottom w:type="dxa" w:w="90"/>
              <w:right w:type="dxa" w:w="120"/>
            </w:tcMar>
          </w:tcPr>
          <w:p>
            <w:pPr>
              <w:spacing w:after="20"/>
              <w:jc w:val="left"/>
            </w:pPr>
            <w:r>
              <w:rPr>
                <w:b/>
                <w:bCs/>
                <w:color w:val="FFFFFF"/>
                <w:sz w:val="18"/>
                <w:szCs w:val="18"/>
              </w:rPr>
              <w:t xml:space="preserve">Ne uygulanır</w:t>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2 Ağustos 2026</w:t>
            </w:r>
          </w:p>
        </w:tc>
        <w:tc>
          <w:tcPr>
            <w:tcW w:type="dxa" w:w="7216"/>
            <w:shd w:fill="FFFFFF" w:val="clear"/>
            <w:tcMar>
              <w:top w:type="dxa" w:w="90"/>
              <w:left w:type="dxa" w:w="120"/>
              <w:bottom w:type="dxa" w:w="90"/>
              <w:right w:type="dxa" w:w="120"/>
            </w:tcMar>
          </w:tcPr>
          <w:p>
            <w:pPr>
              <w:spacing w:after="20"/>
              <w:jc w:val="left"/>
            </w:pPr>
            <w:r>
              <w:rPr>
                <w:b w:val="false"/>
                <w:bCs w:val="false"/>
                <w:color w:val="1A1A1A"/>
                <w:sz w:val="18"/>
                <w:szCs w:val="18"/>
              </w:rPr>
              <w:t xml:space="preserve">Madde 50 şeffaflık yükümlülükleri uygulanır. İstisna: m. 50(2), bu tarih itibarıyla halihazırda piyasada bulunan sistemlere uygulanmaz.</w:t>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2 Aralık 2026</w:t>
            </w:r>
          </w:p>
        </w:tc>
        <w:tc>
          <w:tcPr>
            <w:tcW w:type="dxa" w:w="7216"/>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50(2) işaretleme yükümlülüğü mevcut (legacy) sistemlere de uygulanmaya başlar. Yeni yasaklı uygulamalar yürürlüğe girer.</w:t>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2 Ağustos 2027</w:t>
            </w:r>
          </w:p>
        </w:tc>
        <w:tc>
          <w:tcPr>
            <w:tcW w:type="dxa" w:w="7216"/>
            <w:shd w:fill="FFFFFF" w:val="clear"/>
            <w:tcMar>
              <w:top w:type="dxa" w:w="90"/>
              <w:left w:type="dxa" w:w="120"/>
              <w:bottom w:type="dxa" w:w="90"/>
              <w:right w:type="dxa" w:w="120"/>
            </w:tcMar>
          </w:tcPr>
          <w:p>
            <w:pPr>
              <w:spacing w:after="20"/>
              <w:jc w:val="left"/>
            </w:pPr>
            <w:r>
              <w:rPr>
                <w:b w:val="false"/>
                <w:bCs w:val="false"/>
                <w:color w:val="1A1A1A"/>
                <w:sz w:val="18"/>
                <w:szCs w:val="18"/>
              </w:rPr>
              <w:t xml:space="preserve">Üye devletlerde düzenleyici test ortamları (sandbox) kurulmuş olmalıdır.</w:t>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2 Aralık 2027</w:t>
            </w:r>
          </w:p>
        </w:tc>
        <w:tc>
          <w:tcPr>
            <w:tcW w:type="dxa" w:w="7216"/>
            <w:shd w:fill="FFFFFF" w:val="clear"/>
            <w:tcMar>
              <w:top w:type="dxa" w:w="90"/>
              <w:left w:type="dxa" w:w="120"/>
              <w:bottom w:type="dxa" w:w="90"/>
              <w:right w:type="dxa" w:w="120"/>
            </w:tcMar>
          </w:tcPr>
          <w:p>
            <w:pPr>
              <w:spacing w:after="20"/>
              <w:jc w:val="left"/>
            </w:pPr>
            <w:r>
              <w:rPr>
                <w:b w:val="false"/>
                <w:bCs w:val="false"/>
                <w:color w:val="1A1A1A"/>
                <w:sz w:val="18"/>
                <w:szCs w:val="18"/>
              </w:rPr>
              <w:t xml:space="preserve">Annex III kapsamındaki bağımsız yüksek riskli sistemler için yükümlülükler uygulanır.</w:t>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2 Ağustos 2028</w:t>
            </w:r>
          </w:p>
        </w:tc>
        <w:tc>
          <w:tcPr>
            <w:tcW w:type="dxa" w:w="7216"/>
            <w:shd w:fill="FFFFFF" w:val="clear"/>
            <w:tcMar>
              <w:top w:type="dxa" w:w="90"/>
              <w:left w:type="dxa" w:w="120"/>
              <w:bottom w:type="dxa" w:w="90"/>
              <w:right w:type="dxa" w:w="120"/>
            </w:tcMar>
          </w:tcPr>
          <w:p>
            <w:pPr>
              <w:spacing w:after="20"/>
              <w:jc w:val="left"/>
            </w:pPr>
            <w:r>
              <w:rPr>
                <w:b w:val="false"/>
                <w:bCs w:val="false"/>
                <w:color w:val="1A1A1A"/>
                <w:sz w:val="18"/>
                <w:szCs w:val="18"/>
              </w:rPr>
              <w:t xml:space="preserve">Annex I kapsamındaki ürünlere gömülü yüksek riskli sistemler için yükümlülükler uygulanır.</w:t>
            </w:r>
          </w:p>
        </w:tc>
      </w:tr>
    </w:tbl>
    <w:p>
      <w:pPr>
        <w:spacing w:after="120"/>
      </w:pPr>
    </w:p>
    <w:p>
      <w:pPr>
        <w:jc w:val="both"/>
      </w:pPr>
      <w:r>
        <w:rPr>
          <w:b/>
          <w:bCs/>
          <w:i w:val="false"/>
          <w:iCs w:val="false"/>
        </w:rPr>
        <w:t xml:space="preserve">Doğrulama notu. </w:t>
      </w:r>
      <w:r>
        <w:rPr>
          <w:b w:val="false"/>
          <w:bCs w:val="false"/>
          <w:i w:val="false"/>
          <w:iCs w:val="false"/>
        </w:rPr>
        <w:t xml:space="preserve">Digital Omnibus metni Parlamento ve Konsey tarafından kabul edilmiştir. Nihai tarih ve istisnaların, uygulamaya geçmeden önce Resmî Gazete’de (Official Journal) yayımlanan nihai metin üzerinden teyit edilmesi gerekir.</w:t>
      </w:r>
    </w:p>
    <w:p>
      <w:pPr>
        <w:pStyle w:val="Heading1"/>
      </w:pPr>
      <w:r>
        <w:t xml:space="preserve">6. Yaptırım</w:t>
      </w:r>
    </w:p>
    <w:p>
      <w:pPr>
        <w:jc w:val="both"/>
      </w:pPr>
      <w:r>
        <w:t xml:space="preserve">50. maddedeki şeffaflık yükümlülüklerine aykırılık, Tüzüğün 99. maddesi uyarınca idari para cezasına tabidir: 15.000.000 EUR’ya kadar veya bir önceki mali yıla ait dünya çapındaki toplam yıllık cironun %3’üne kadar; hangisi yüksekse o uygulanır.</w:t>
      </w:r>
    </w:p>
    <w:p>
      <w:pPr>
        <w:jc w:val="both"/>
      </w:pPr>
      <w:r>
        <w:t xml:space="preserve">Küçük ve orta ölçekli işletmeler ile yeni girişimler bakımından ise bu iki üst sınırdan hangisi düşükse o esas alınır (m. 99(6)).</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EEF1F5" w:val="clear"/>
            <w:tcMar>
              <w:top w:type="dxa" w:w="160"/>
              <w:left w:type="dxa" w:w="200"/>
              <w:bottom w:type="dxa" w:w="160"/>
              <w:right w:type="dxa" w:w="200"/>
            </w:tcMar>
          </w:tcPr>
          <w:p>
            <w:pPr>
              <w:jc w:val="both"/>
            </w:pPr>
            <w:r>
              <w:rPr>
                <w:b/>
                <w:bCs/>
                <w:i w:val="false"/>
                <w:iCs w:val="false"/>
              </w:rPr>
              <w:t xml:space="preserve">Pratik risk, para cezasından önce gelir. </w:t>
            </w:r>
            <w:r>
              <w:rPr>
                <w:b w:val="false"/>
                <w:bCs w:val="false"/>
                <w:i w:val="false"/>
                <w:iCs w:val="false"/>
              </w:rPr>
              <w:t xml:space="preserve">AB’li kurumsal alıcıların tedarikçi denetim formları 2026 itibarıyla AI Act uyum beyanı istemektedir. Uyum dosyası olmayan tedarikçi, ceza kesilmeden çok önce ihaleden ve satın alma listesinden düşmektedir.</w:t>
            </w:r>
          </w:p>
        </w:tc>
      </w:tr>
    </w:tbl>
    <w:p>
      <w:pPr>
        <w:pStyle w:val="Heading1"/>
      </w:pPr>
      <w:r>
        <w:t xml:space="preserve">7. Yasal Uyarı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Yasal uyarı. </w:t>
            </w:r>
            <w:r>
              <w:rPr>
                <w:b w:val="false"/>
                <w:bCs w:val="false"/>
                <w:i w:val="false"/>
                <w:iCs w:val="false"/>
              </w:rPr>
              <w:t xml:space="preserve">Bu belge, AB Yapay Zeka Tüzüğü (Regulation (EU) 2024/1689) kapsamındaki şeffaflık yükümlülüklerine ilişkin genel nitelikli bir uyum dokümantasyon şablonudur. Belirli bir olay, sistem veya şirket bakımından hukuki mütalaa, avukatlık hizmeti veya vekâlet ilişkisi teşkil etmez. Şablonlar kullanılmadan önce şirketinizin fiili sistem envanterine göre uyarlanmalı ve yetkili bir hukuk müşaviri tarafından gözden geçirilmelidir. Mevzuat, Digital Omnibus değişiklikleri dâhil olmak üzere gelişmeye devam etmektedir; nihai metinler Avrupa Birliği Resmî Gazetesi (Official Journal) üzerinden teyit edilmelidir.</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472"/>
        <w:sz w:val="15"/>
        <w:szCs w:val="15"/>
      </w:rPr>
      <w:t xml:space="preserve">AI Uyum ve Yönetişim · Sürüm 1.0 (Temmuz 2026) · Sayfa </w:t>
    </w:r>
    <w:r>
      <w:rPr>
        <w:color w:val="5A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color w:val="5A6472"/>
        <w:sz w:val="15"/>
        <w:szCs w:val="15"/>
      </w:rPr>
      <w:t xml:space="preserve">AIA-01 · Madde 50 Uygunluk Testi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abstractNum w:abstractNumId="3" w15:restartNumberingAfterBreak="0">
    <w:multiLevelType w:val="hybridMultilevel"/>
    <w:lvl w:ilvl="0" w15:tentative="1">
      <w:start w:val="1"/>
      <w:numFmt w:val="decimal"/>
      <w:lvlText w:val="%1."/>
      <w:lvlJc w:val="left"/>
      <w:pPr>
        <w:ind w:left="40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B2545" w:sz="8" w:space="6"/>
      </w:pBdr>
      <w:spacing w:after="180" w:before="400"/>
    </w:pPr>
    <w:rPr>
      <w:rFonts w:ascii="Arial" w:cs="Arial" w:eastAsia="Arial" w:hAnsi="Arial"/>
      <w:b/>
      <w:bCs/>
      <w:color w:val="0B2545"/>
      <w:sz w:val="30"/>
      <w:szCs w:val="30"/>
    </w:rPr>
  </w:style>
  <w:style w:type="paragraph" w:styleId="Heading2">
    <w:name w:val="Heading 2"/>
    <w:basedOn w:val="Normal"/>
    <w:next w:val="Normal"/>
    <w:qFormat/>
    <w:pPr>
      <w:spacing w:after="120" w:before="300"/>
    </w:pPr>
    <w:rPr>
      <w:rFonts w:ascii="Arial" w:cs="Arial" w:eastAsia="Arial" w:hAnsi="Arial"/>
      <w:b/>
      <w:bCs/>
      <w:color w:val="0B2545"/>
      <w:sz w:val="24"/>
      <w:szCs w:val="24"/>
    </w:rPr>
  </w:style>
  <w:style w:type="paragraph" w:styleId="Heading3">
    <w:name w:val="Heading 3"/>
    <w:basedOn w:val="Normal"/>
    <w:next w:val="Normal"/>
    <w:qFormat/>
    <w:pPr>
      <w:spacing w:after="90" w:before="220"/>
    </w:pPr>
    <w:rPr>
      <w:rFonts w:ascii="Arial" w:cs="Arial" w:eastAsia="Arial" w:hAnsi="Arial"/>
      <w:b/>
      <w:bCs/>
      <w:color w:val="B3122E"/>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2026-07-30T18:02:47.560Z</dcterms:created>
  <dcterms:modified xsi:type="dcterms:W3CDTF">2026-07-30T18:02:47.560Z</dcterms:modified>
</cp:coreProperties>
</file>

<file path=docProps/custom.xml><?xml version="1.0" encoding="utf-8"?>
<Properties xmlns="http://schemas.openxmlformats.org/officeDocument/2006/custom-properties" xmlns:vt="http://schemas.openxmlformats.org/officeDocument/2006/docPropsVTypes"/>
</file>