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b/>
          <w:bCs/>
          <w:color w:val="0B2545"/>
          <w:sz w:val="26"/>
          <w:szCs w:val="26"/>
        </w:rPr>
        <w:t xml:space="preserve"/>
      </w:r>
      <w:r>
        <w:rPr>
          <w:color w:val="5A6472"/>
          <w:sz w:val="18"/>
          <w:szCs w:val="18"/>
        </w:rPr>
        <w:t xml:space="preserve">YAPAY ZEKA UYUM VE YÖNETİŞİM</w:t>
      </w:r>
    </w:p>
    <w:p>
      <w:pPr>
        <w:pBdr>
          <w:bottom w:val="single" w:color="B3122E" w:sz="16" w:space="4"/>
        </w:pBdr>
        <w:spacing w:after="300"/>
      </w:pPr>
    </w:p>
    <w:p>
      <w:pPr>
        <w:spacing w:after="100"/>
      </w:pPr>
      <w:r>
        <w:rPr>
          <w:b/>
          <w:bCs/>
          <w:color w:val="B3122E"/>
          <w:sz w:val="18"/>
          <w:szCs w:val="18"/>
        </w:rPr>
        <w:t xml:space="preserve">AIA-02</w:t>
      </w:r>
    </w:p>
    <w:p>
      <w:pPr>
        <w:spacing w:after="100"/>
      </w:pPr>
      <w:r>
        <w:rPr>
          <w:b/>
          <w:bCs/>
          <w:color w:val="0B2545"/>
          <w:sz w:val="40"/>
          <w:szCs w:val="40"/>
        </w:rPr>
        <w:t xml:space="preserve">Sohbet Robotu ve Etkileşim İfşa Metinleri</w:t>
      </w:r>
    </w:p>
    <w:p>
      <w:pPr>
        <w:spacing w:after="400"/>
      </w:pPr>
      <w:r>
        <w:rPr>
          <w:color w:val="5A6472"/>
          <w:sz w:val="22"/>
          <w:szCs w:val="22"/>
        </w:rPr>
        <w:t xml:space="preserve">Madde 50(1) ve 50(5) — TR / EN / DE kullanıma hazır metinler</w:t>
      </w:r>
    </w:p>
    <w:p>
      <w:pPr>
        <w:pStyle w:val="Heading1"/>
      </w:pPr>
      <w:r>
        <w:t xml:space="preserve">1. Kapsam ve dayanak</w:t>
      </w:r>
    </w:p>
    <w:p>
      <w:pPr>
        <w:jc w:val="both"/>
      </w:pPr>
      <w:r>
        <w:t xml:space="preserve">Bu belge, AB Yapay Zeka Tüzüğü m. 50(1) ve m. 50(5) uyarınca, gerçek kişilerle doğrudan etkileşime giren yapay zeka sistemlerinde kullanılacak ifşa metinlerini içerir. Metinler Türkçe, İngilizce ve Almanca olarak, kullanıma hazır biçimde verilmiştir.</w:t>
      </w:r>
    </w:p>
    <w:p>
      <w:pPr>
        <w:jc w:val="both"/>
      </w:pPr>
      <w:r>
        <w:t xml:space="preserve">Yükümlülük sağlayıcıya aittir. Üçüncü taraf bir sohbet altyapısını kendi markanızla sunuyorsanız, Tüzük m. 25 uyarınca sağlayıcı sayılırsınız ve bu belgeyi uygulamak zorundasınız (bkz. Belge 01, Bölüm B).</w:t>
      </w:r>
    </w:p>
    <w:p>
      <w:pPr>
        <w:pStyle w:val="Heading1"/>
      </w:pPr>
      <w:r>
        <w:t xml:space="preserve">2. Beş yerleştirme kuralı</w:t>
      </w:r>
    </w:p>
    <w:p>
      <w:pPr>
        <w:pStyle w:val="ListParagraph"/>
        <w:numPr>
          <w:ilvl w:val="0"/>
          <w:numId w:val="2"/>
        </w:numPr>
        <w:spacing w:after="60"/>
        <w:jc w:val="left"/>
      </w:pPr>
      <w:r>
        <w:rPr>
          <w:b/>
          <w:bCs/>
          <w:i w:val="false"/>
          <w:iCs w:val="false"/>
        </w:rPr>
        <w:t xml:space="preserve">Zamanlama. </w:t>
      </w:r>
      <w:r>
        <w:rPr>
          <w:b w:val="false"/>
          <w:bCs w:val="false"/>
          <w:i w:val="false"/>
          <w:iCs w:val="false"/>
        </w:rPr>
        <w:t xml:space="preserve">Bilgilendirme en geç ilk etkileşim anında görünmelidir. Kullanıcı ilk mesajını yazdıktan sonra verilen açıklama geç kalmıştır.</w:t>
      </w:r>
    </w:p>
    <w:p>
      <w:pPr>
        <w:pStyle w:val="ListParagraph"/>
        <w:numPr>
          <w:ilvl w:val="0"/>
          <w:numId w:val="2"/>
        </w:numPr>
        <w:spacing w:after="60"/>
        <w:jc w:val="left"/>
      </w:pPr>
      <w:r>
        <w:rPr>
          <w:b/>
          <w:bCs/>
          <w:i w:val="false"/>
          <w:iCs w:val="false"/>
        </w:rPr>
        <w:t xml:space="preserve">Görünürlük. </w:t>
      </w:r>
      <w:r>
        <w:rPr>
          <w:b w:val="false"/>
          <w:bCs w:val="false"/>
          <w:i w:val="false"/>
          <w:iCs w:val="false"/>
        </w:rPr>
        <w:t xml:space="preserve">Açık ve ayırt edilebilir olmalıdır. Kullanım koşulları metninin içine, gizlilik politikasına, ayarlar menüsüne veya sohbet geçmişinin altına gömülmüş açıklama bu şartı karşılamaz.</w:t>
      </w:r>
    </w:p>
    <w:p>
      <w:pPr>
        <w:pStyle w:val="ListParagraph"/>
        <w:numPr>
          <w:ilvl w:val="0"/>
          <w:numId w:val="2"/>
        </w:numPr>
        <w:spacing w:after="60"/>
        <w:jc w:val="left"/>
      </w:pPr>
      <w:r>
        <w:rPr>
          <w:b/>
          <w:bCs/>
          <w:i w:val="false"/>
          <w:iCs w:val="false"/>
        </w:rPr>
        <w:t xml:space="preserve">Dil. </w:t>
      </w:r>
      <w:r>
        <w:rPr>
          <w:b w:val="false"/>
          <w:bCs w:val="false"/>
          <w:i w:val="false"/>
          <w:iCs w:val="false"/>
        </w:rPr>
        <w:t xml:space="preserve">Kullanıcının arayüzde seçtiği dilde sunulmalıdır. Almanca arayüzde İngilizce ifşa yetersizdir.</w:t>
      </w:r>
    </w:p>
    <w:p>
      <w:pPr>
        <w:pStyle w:val="ListParagraph"/>
        <w:numPr>
          <w:ilvl w:val="0"/>
          <w:numId w:val="2"/>
        </w:numPr>
        <w:spacing w:after="60"/>
        <w:jc w:val="left"/>
      </w:pPr>
      <w:r>
        <w:rPr>
          <w:b/>
          <w:bCs/>
          <w:i w:val="false"/>
          <w:iCs w:val="false"/>
        </w:rPr>
        <w:t xml:space="preserve">Erişilebilirlik. </w:t>
      </w:r>
      <w:r>
        <w:rPr>
          <w:b w:val="false"/>
          <w:bCs w:val="false"/>
          <w:i w:val="false"/>
          <w:iCs w:val="false"/>
        </w:rPr>
        <w:t xml:space="preserve">Metin ekran okuyucular tarafından okunabilir olmalıdır: görsel içine gömülü yazı, yalnız renkle ayrım veya alt metni olmayan ikon kullanmayın. Yeterli kontrast oranı sağlayın.</w:t>
      </w:r>
    </w:p>
    <w:p>
      <w:pPr>
        <w:pStyle w:val="ListParagraph"/>
        <w:numPr>
          <w:ilvl w:val="0"/>
          <w:numId w:val="2"/>
        </w:numPr>
        <w:spacing w:after="60"/>
        <w:jc w:val="left"/>
      </w:pPr>
      <w:r>
        <w:rPr>
          <w:b/>
          <w:bCs/>
          <w:i w:val="false"/>
          <w:iCs w:val="false"/>
        </w:rPr>
        <w:t xml:space="preserve">Süreklilik. </w:t>
      </w:r>
      <w:r>
        <w:rPr>
          <w:b w:val="false"/>
          <w:bCs w:val="false"/>
          <w:i w:val="false"/>
          <w:iCs w:val="false"/>
        </w:rPr>
        <w:t xml:space="preserve">İfşa, oturum boyunca erişilebilir kalmalıdır (örneğin sohbet başlığında sabit bir etiket).</w:t>
      </w:r>
    </w:p>
    <w:p>
      <w:pPr>
        <w:pStyle w:val="Heading1"/>
      </w:pPr>
      <w:r>
        <w:t xml:space="preserve">3. Kullanıma hazır metinler</w:t>
      </w:r>
    </w:p>
    <w:p>
      <w:pPr>
        <w:pStyle w:val="Heading2"/>
      </w:pPr>
      <w:r>
        <w:t xml:space="preserve">3.1. Web sohbet penceresi — açılış ekranı</w:t>
      </w:r>
    </w:p>
    <w:p>
      <w:pPr>
        <w:jc w:val="both"/>
      </w:pPr>
      <w:r>
        <w:t xml:space="preserve">Sohbet penceresi açıldığında, kullanıcı herhangi bir mesaj yazmadan önce görünür.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
        <w:gridCol w:w="8118"/>
      </w:tblGrid>
      <w:tr>
        <w:trPr>
          <w:tblHeader/>
        </w:trPr>
        <w:tc>
          <w:tcPr>
            <w:tcW w:type="dxa" w:w="902"/>
            <w:shd w:fill="0B2545" w:val="clear"/>
            <w:tcMar>
              <w:top w:type="dxa" w:w="90"/>
              <w:left w:type="dxa" w:w="120"/>
              <w:bottom w:type="dxa" w:w="90"/>
              <w:right w:type="dxa" w:w="120"/>
            </w:tcMar>
          </w:tcPr>
          <w:p>
            <w:pPr>
              <w:spacing w:after="20"/>
              <w:jc w:val="left"/>
            </w:pPr>
            <w:r>
              <w:rPr>
                <w:b/>
                <w:bCs/>
                <w:color w:val="FFFFFF"/>
                <w:sz w:val="18"/>
                <w:szCs w:val="18"/>
              </w:rPr>
              <w:t xml:space="preserve">Dil</w:t>
            </w:r>
          </w:p>
        </w:tc>
        <w:tc>
          <w:tcPr>
            <w:tcW w:type="dxa" w:w="8118"/>
            <w:shd w:fill="0B2545" w:val="clear"/>
            <w:tcMar>
              <w:top w:type="dxa" w:w="90"/>
              <w:left w:type="dxa" w:w="120"/>
              <w:bottom w:type="dxa" w:w="90"/>
              <w:right w:type="dxa" w:w="120"/>
            </w:tcMar>
          </w:tcPr>
          <w:p>
            <w:pPr>
              <w:spacing w:after="20"/>
              <w:jc w:val="left"/>
            </w:pPr>
            <w:r>
              <w:rPr>
                <w:b/>
                <w:bCs/>
                <w:color w:val="FFFFFF"/>
                <w:sz w:val="18"/>
                <w:szCs w:val="18"/>
              </w:rPr>
              <w:t xml:space="preserve">Metin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TR</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“Bu bir yapay zeka asistanıdır. İnsan bir temsilciyle görüşmüyorsunuz. Yanıtlar otomatik olarak üretilir ve hata içerebilir. İnsan temsilciye bağlanmak için ‘temsilci’ yazabilirsiniz.”</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EN</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“You are chatting with an AI assistant, not a human agent. Responses are automatically generated and may contain errors. Type ‘agent’ at any time to reach a person.”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“Sie chatten mit einem KI-Assistenten, nicht mit einem menschlichen Mitarbeiter. Die Antworten werden automatisch erzeugt und können Fehler enthalten. Schreiben Sie jederzeit ‘Mitarbeiter’, um mit einer Person verbunden zu werden.”</w:t>
            </w:r>
          </w:p>
        </w:tc>
      </w:tr>
    </w:tbl>
    <w:p>
      <w:pPr>
        <w:pStyle w:val="Heading2"/>
      </w:pPr>
      <w:r>
        <w:t xml:space="preserve">3.2. Sohbet başlığında sabit etiket</w:t>
      </w:r>
    </w:p>
    <w:p>
      <w:pPr>
        <w:jc w:val="both"/>
      </w:pPr>
      <w:r>
        <w:t xml:space="preserve">Oturum boyunca görünür kalır; kural 5’i karşılar.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
        <w:gridCol w:w="8118"/>
      </w:tblGrid>
      <w:tr>
        <w:trPr>
          <w:tblHeader/>
        </w:trPr>
        <w:tc>
          <w:tcPr>
            <w:tcW w:type="dxa" w:w="902"/>
            <w:shd w:fill="0B2545" w:val="clear"/>
            <w:tcMar>
              <w:top w:type="dxa" w:w="90"/>
              <w:left w:type="dxa" w:w="120"/>
              <w:bottom w:type="dxa" w:w="90"/>
              <w:right w:type="dxa" w:w="120"/>
            </w:tcMar>
          </w:tcPr>
          <w:p>
            <w:pPr>
              <w:spacing w:after="20"/>
              <w:jc w:val="left"/>
            </w:pPr>
            <w:r>
              <w:rPr>
                <w:b/>
                <w:bCs/>
                <w:color w:val="FFFFFF"/>
                <w:sz w:val="18"/>
                <w:szCs w:val="18"/>
              </w:rPr>
              <w:t xml:space="preserve">Dil</w:t>
            </w:r>
          </w:p>
        </w:tc>
        <w:tc>
          <w:tcPr>
            <w:tcW w:type="dxa" w:w="8118"/>
            <w:shd w:fill="0B2545" w:val="clear"/>
            <w:tcMar>
              <w:top w:type="dxa" w:w="90"/>
              <w:left w:type="dxa" w:w="120"/>
              <w:bottom w:type="dxa" w:w="90"/>
              <w:right w:type="dxa" w:w="120"/>
            </w:tcMar>
          </w:tcPr>
          <w:p>
            <w:pPr>
              <w:spacing w:after="20"/>
              <w:jc w:val="left"/>
            </w:pPr>
            <w:r>
              <w:rPr>
                <w:b/>
                <w:bCs/>
                <w:color w:val="FFFFFF"/>
                <w:sz w:val="18"/>
                <w:szCs w:val="18"/>
              </w:rPr>
              <w:t xml:space="preserve">Metin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TR</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“Yapay zeka asistanı”  /  “YZ destekli destek hattı”</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EN</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“AI assistant”  /  “AI-powered support”</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“KI-Assistent”  /  “KI-gestützter Support”</w:t>
            </w:r>
          </w:p>
        </w:tc>
      </w:tr>
    </w:tbl>
    <w:p>
      <w:pPr>
        <w:pStyle w:val="Heading2"/>
      </w:pPr>
      <w:r>
        <w:t xml:space="preserve">3.3. Sesli asistan / IVR — ilk anons</w:t>
      </w:r>
    </w:p>
    <w:p>
      <w:pPr>
        <w:jc w:val="both"/>
      </w:pPr>
      <w:r>
        <w:t xml:space="preserve">Aramanın başında, menü seçeneklerinden önce çalınır.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
        <w:gridCol w:w="8118"/>
      </w:tblGrid>
      <w:tr>
        <w:trPr>
          <w:tblHeader/>
        </w:trPr>
        <w:tc>
          <w:tcPr>
            <w:tcW w:type="dxa" w:w="902"/>
            <w:shd w:fill="0B2545" w:val="clear"/>
            <w:tcMar>
              <w:top w:type="dxa" w:w="90"/>
              <w:left w:type="dxa" w:w="120"/>
              <w:bottom w:type="dxa" w:w="90"/>
              <w:right w:type="dxa" w:w="120"/>
            </w:tcMar>
          </w:tcPr>
          <w:p>
            <w:pPr>
              <w:spacing w:after="20"/>
              <w:jc w:val="left"/>
            </w:pPr>
            <w:r>
              <w:rPr>
                <w:b/>
                <w:bCs/>
                <w:color w:val="FFFFFF"/>
                <w:sz w:val="18"/>
                <w:szCs w:val="18"/>
              </w:rPr>
              <w:t xml:space="preserve">Dil</w:t>
            </w:r>
          </w:p>
        </w:tc>
        <w:tc>
          <w:tcPr>
            <w:tcW w:type="dxa" w:w="8118"/>
            <w:shd w:fill="0B2545" w:val="clear"/>
            <w:tcMar>
              <w:top w:type="dxa" w:w="90"/>
              <w:left w:type="dxa" w:w="120"/>
              <w:bottom w:type="dxa" w:w="90"/>
              <w:right w:type="dxa" w:w="120"/>
            </w:tcMar>
          </w:tcPr>
          <w:p>
            <w:pPr>
              <w:spacing w:after="20"/>
              <w:jc w:val="left"/>
            </w:pPr>
            <w:r>
              <w:rPr>
                <w:b/>
                <w:bCs/>
                <w:color w:val="FFFFFF"/>
                <w:sz w:val="18"/>
                <w:szCs w:val="18"/>
              </w:rPr>
              <w:t xml:space="preserve">Metin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TR</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“Merhaba. Bu çağrıyı bir yapay zeka sistemi yanıtlamaktadır. İstediğiniz an ‘temsilci’ diyerek insan bir çalışanımıza aktarılabilirsiniz.”</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EN</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“Hello. This call is being handled by an automated AI system. You can say ‘agent’ at any time to be transferred to a human colleague.”</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“Guten Tag. Dieses Gespräch wird von einem KI-System bearbeitet. Sagen Sie jederzeit ‘Mitarbeiter’, um zu einer Person weitergeleitet zu werden.”</w:t>
            </w:r>
          </w:p>
        </w:tc>
      </w:tr>
    </w:tbl>
    <w:p>
      <w:pPr>
        <w:pStyle w:val="Heading2"/>
      </w:pPr>
      <w:r>
        <w:t xml:space="preserve">3.4. WhatsApp / mesajlaşma kanalı — ilk otomatik yanıt</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
        <w:gridCol w:w="8118"/>
      </w:tblGrid>
      <w:tr>
        <w:trPr>
          <w:tblHeader/>
        </w:trPr>
        <w:tc>
          <w:tcPr>
            <w:tcW w:type="dxa" w:w="902"/>
            <w:shd w:fill="0B2545" w:val="clear"/>
            <w:tcMar>
              <w:top w:type="dxa" w:w="90"/>
              <w:left w:type="dxa" w:w="120"/>
              <w:bottom w:type="dxa" w:w="90"/>
              <w:right w:type="dxa" w:w="120"/>
            </w:tcMar>
          </w:tcPr>
          <w:p>
            <w:pPr>
              <w:spacing w:after="20"/>
              <w:jc w:val="left"/>
            </w:pPr>
            <w:r>
              <w:rPr>
                <w:b/>
                <w:bCs/>
                <w:color w:val="FFFFFF"/>
                <w:sz w:val="18"/>
                <w:szCs w:val="18"/>
              </w:rPr>
              <w:t xml:space="preserve">Dil</w:t>
            </w:r>
          </w:p>
        </w:tc>
        <w:tc>
          <w:tcPr>
            <w:tcW w:type="dxa" w:w="8118"/>
            <w:shd w:fill="0B2545" w:val="clear"/>
            <w:tcMar>
              <w:top w:type="dxa" w:w="90"/>
              <w:left w:type="dxa" w:w="120"/>
              <w:bottom w:type="dxa" w:w="90"/>
              <w:right w:type="dxa" w:w="120"/>
            </w:tcMar>
          </w:tcPr>
          <w:p>
            <w:pPr>
              <w:spacing w:after="20"/>
              <w:jc w:val="left"/>
            </w:pPr>
            <w:r>
              <w:rPr>
                <w:b/>
                <w:bCs/>
                <w:color w:val="FFFFFF"/>
                <w:sz w:val="18"/>
                <w:szCs w:val="18"/>
              </w:rPr>
              <w:t xml:space="preserve">Metin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TR</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“[Şirket] otomatik yanıt sistemine hoş geldiniz. Mesajlarınız bir yapay zeka asistanı tarafından yanıtlanmaktadır. İnsan bir temsilciye ulaşmak için 0 yazın.”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EN</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“Welcome to [Company]. Your messages are answered by an AI assistant. Reply 0 to reach a human agent.”</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“Willkommen bei [Unternehmen]. Ihre Nachrichten werden von einem KI-Assistenten beantwortet. Antworten Sie mit 0, um einen Mitarbeiter zu erreichen.”</w:t>
            </w:r>
          </w:p>
        </w:tc>
      </w:tr>
    </w:tbl>
    <w:p>
      <w:pPr>
        <w:pStyle w:val="Heading2"/>
      </w:pPr>
      <w:r>
        <w:t xml:space="preserve">3.5. E-posta otomatik yanıtlayıcı — imza bloğu</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
        <w:gridCol w:w="8118"/>
      </w:tblGrid>
      <w:tr>
        <w:trPr>
          <w:tblHeader/>
        </w:trPr>
        <w:tc>
          <w:tcPr>
            <w:tcW w:type="dxa" w:w="902"/>
            <w:shd w:fill="0B2545" w:val="clear"/>
            <w:tcMar>
              <w:top w:type="dxa" w:w="90"/>
              <w:left w:type="dxa" w:w="120"/>
              <w:bottom w:type="dxa" w:w="90"/>
              <w:right w:type="dxa" w:w="120"/>
            </w:tcMar>
          </w:tcPr>
          <w:p>
            <w:pPr>
              <w:spacing w:after="20"/>
              <w:jc w:val="left"/>
            </w:pPr>
            <w:r>
              <w:rPr>
                <w:b/>
                <w:bCs/>
                <w:color w:val="FFFFFF"/>
                <w:sz w:val="18"/>
                <w:szCs w:val="18"/>
              </w:rPr>
              <w:t xml:space="preserve">Dil</w:t>
            </w:r>
          </w:p>
        </w:tc>
        <w:tc>
          <w:tcPr>
            <w:tcW w:type="dxa" w:w="8118"/>
            <w:shd w:fill="0B2545" w:val="clear"/>
            <w:tcMar>
              <w:top w:type="dxa" w:w="90"/>
              <w:left w:type="dxa" w:w="120"/>
              <w:bottom w:type="dxa" w:w="90"/>
              <w:right w:type="dxa" w:w="120"/>
            </w:tcMar>
          </w:tcPr>
          <w:p>
            <w:pPr>
              <w:spacing w:after="20"/>
              <w:jc w:val="left"/>
            </w:pPr>
            <w:r>
              <w:rPr>
                <w:b/>
                <w:bCs/>
                <w:color w:val="FFFFFF"/>
                <w:sz w:val="18"/>
                <w:szCs w:val="18"/>
              </w:rPr>
              <w:t xml:space="preserve">Metin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TR</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“Bu yanıt bir yapay zeka sistemi tarafından oluşturulmuştur ve insan incelemesinden geçmemiştir. Konunun bir çalışanımız tarafından değerlendirilmesini isterseniz bu e-postayı yanıtlayın.”</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EN</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“This reply was generated by an AI system and has not been reviewed by a person. Reply to this email if you would like a colleague to review your case.”</w:t>
            </w:r>
          </w:p>
        </w:tc>
      </w:tr>
      <w:tr>
        <w:tc>
          <w:tcPr>
            <w:tcW w:type="dxa" w:w="902"/>
            <w:shd w:fill="FFFFFF" w:val="clear"/>
            <w:tcMar>
              <w:top w:type="dxa" w:w="90"/>
              <w:left w:type="dxa" w:w="120"/>
              <w:bottom w:type="dxa" w:w="90"/>
              <w:right w:type="dxa" w:w="120"/>
            </w:tcMar>
          </w:tcPr>
          <w:p>
            <w:pPr>
              <w:spacing w:after="20"/>
              <w:jc w:val="left"/>
            </w:pPr>
            <w:r>
              <w:rPr>
                <w:b w:val="false"/>
                <w:bCs w:val="false"/>
                <w:color w:val="1A1A1A"/>
                <w:sz w:val="18"/>
                <w:szCs w:val="18"/>
              </w:rPr>
              <w:t xml:space="preserve">DE</w:t>
            </w:r>
          </w:p>
        </w:tc>
        <w:tc>
          <w:tcPr>
            <w:tcW w:type="dxa" w:w="8118"/>
            <w:shd w:fill="FFFFFF" w:val="clear"/>
            <w:tcMar>
              <w:top w:type="dxa" w:w="90"/>
              <w:left w:type="dxa" w:w="120"/>
              <w:bottom w:type="dxa" w:w="90"/>
              <w:right w:type="dxa" w:w="120"/>
            </w:tcMar>
          </w:tcPr>
          <w:p>
            <w:pPr>
              <w:spacing w:after="20"/>
              <w:jc w:val="left"/>
            </w:pPr>
            <w:r>
              <w:rPr>
                <w:b w:val="false"/>
                <w:bCs w:val="false"/>
                <w:color w:val="1A1A1A"/>
                <w:sz w:val="18"/>
                <w:szCs w:val="18"/>
              </w:rPr>
              <w:t xml:space="preserve">“Diese Antwort wurde von einem KI-System erstellt und nicht von einer Person geprüft. Antworten Sie auf diese E-Mail, wenn Sie eine Prüfung durch einen Mitarbeiter wünschen.”</w:t>
            </w:r>
          </w:p>
        </w:tc>
      </w:tr>
    </w:tbl>
    <w:p>
      <w:pPr>
        <w:pStyle w:val="Heading1"/>
      </w:pPr>
      <w:r>
        <w:t xml:space="preserve">4. Yetersiz örnekler (bunları kullanmayın)</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067"/>
        <w:gridCol w:w="5953"/>
      </w:tblGrid>
      <w:tr>
        <w:trPr>
          <w:tblHeader/>
        </w:trPr>
        <w:tc>
          <w:tcPr>
            <w:tcW w:type="dxa" w:w="3067"/>
            <w:shd w:fill="0B2545" w:val="clear"/>
            <w:tcMar>
              <w:top w:type="dxa" w:w="90"/>
              <w:left w:type="dxa" w:w="120"/>
              <w:bottom w:type="dxa" w:w="90"/>
              <w:right w:type="dxa" w:w="120"/>
            </w:tcMar>
          </w:tcPr>
          <w:p>
            <w:pPr>
              <w:spacing w:after="20"/>
              <w:jc w:val="left"/>
            </w:pPr>
            <w:r>
              <w:rPr>
                <w:b/>
                <w:bCs/>
                <w:color w:val="FFFFFF"/>
                <w:sz w:val="18"/>
                <w:szCs w:val="18"/>
              </w:rPr>
              <w:t xml:space="preserve">Yaygın uygulama</w:t>
            </w:r>
          </w:p>
        </w:tc>
        <w:tc>
          <w:tcPr>
            <w:tcW w:type="dxa" w:w="5953"/>
            <w:shd w:fill="0B2545" w:val="clear"/>
            <w:tcMar>
              <w:top w:type="dxa" w:w="90"/>
              <w:left w:type="dxa" w:w="120"/>
              <w:bottom w:type="dxa" w:w="90"/>
              <w:right w:type="dxa" w:w="120"/>
            </w:tcMar>
          </w:tcPr>
          <w:p>
            <w:pPr>
              <w:spacing w:after="20"/>
              <w:jc w:val="left"/>
            </w:pPr>
            <w:r>
              <w:rPr>
                <w:b/>
                <w:bCs/>
                <w:color w:val="FFFFFF"/>
                <w:sz w:val="18"/>
                <w:szCs w:val="18"/>
              </w:rPr>
              <w:t xml:space="preserve">Neden yetersiz</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“Sanal Asistan Ayşe” veya “Dijital Danışman Max” gibi bir isim/avatar</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İnsan izlenimi güçlendirir. Yapay zeka olduğu açıkça belirtilmediği sürece m. 50(1)’i karşılamaz; aksine ihlal riskini artırır.</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Kullanım koşullarında yer alan “Hizmetlerimizde yapay zeka kullanılabilir” ifadesi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“Açık ve ayırt edilebilir” değildir ve ilk etkileşim anında sunulmamaktadır (m. 50(5)).</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Sohbet penceresinin köşesinde küçük bir robot ikonu</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Alt metni ve yazılı açıklaması yoksa erişilebilirlik gerekliliğini karşılamaz; anlam kullanıcı yorumuna bırakılmıştır.</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İlk yanıtın sonunda “Ben bir yapay zeka modeliyim” ifadesi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Bilgilendirme ilk etkileşimden sonra verilmiştir; zamanlama kuralına aykırıdır.</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Yalnızca İngilizce ifşa metni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Kullanıcının arayüz dili farklıysa bilgilendirme etkili biçimde sunulmamış sayılır.</w:t>
            </w:r>
          </w:p>
        </w:tc>
      </w:tr>
    </w:tbl>
    <w:p>
      <w:pPr>
        <w:pStyle w:val="Heading1"/>
      </w:pPr>
      <w:r>
        <w:t xml:space="preserve">5. “Bariz olma” istisnasına güvenmeyin</w:t>
      </w:r>
    </w:p>
    <w:p>
      <w:pPr>
        <w:jc w:val="both"/>
      </w:pPr>
      <w:r>
        <w:t xml:space="preserve">Tüzük m. 50(1), durumun makul ölçüde bilgili, gözlem yeteneği olan ve dikkatli bir kişi bakımından bariz olduğu hâllerde bilgilendirme yükümlülüğünü kaldırır. Ancak ispat yükü sizdedir ve değerlendirme kullanım bağlamına göre yapılır.</w:t>
      </w:r>
    </w:p>
    <w:p>
      <w:pPr>
        <w:jc w:val="both"/>
      </w:pPr>
      <w:r>
        <w:t xml:space="preserve">Pratik kural: sistemin adında, arayüzünde veya karşılama metninde “yapay zeka / AI / KI” ifadesi geçmiyorsa, istisnaya dayanmayın. İstisnaya dayanacaksanız gerekçenizi Uyum Kayıt Defteri’nde tarih ve karar verenle birlikte yazılı olarak saklayın; denetimde sorulacak ilk şey bu kayıttır.</w:t>
      </w:r>
    </w:p>
    <w:p>
      <w:pPr>
        <w:pStyle w:val="Heading1"/>
      </w:pPr>
      <w:r>
        <w:t xml:space="preserve">6. Uygulama kontrol listesi</w:t>
      </w:r>
    </w:p>
    <w:p>
      <w:pPr>
        <w:pStyle w:val="ListParagraph"/>
        <w:numPr>
          <w:ilvl w:val="0"/>
          <w:numId w:val="3"/>
        </w:numPr>
        <w:spacing w:after="60"/>
        <w:jc w:val="left"/>
      </w:pPr>
      <w:r>
        <w:t xml:space="preserve">Envanterdeki her etkileşimli sistem için ifşa metni belirlendi ve yayına alındı.</w:t>
      </w:r>
    </w:p>
    <w:p>
      <w:pPr>
        <w:pStyle w:val="ListParagraph"/>
        <w:numPr>
          <w:ilvl w:val="0"/>
          <w:numId w:val="3"/>
        </w:numPr>
        <w:spacing w:after="60"/>
        <w:jc w:val="left"/>
      </w:pPr>
      <w:r>
        <w:t xml:space="preserve">Metin, sistemin desteklediği her arayüz dilinde mevcut.</w:t>
      </w:r>
    </w:p>
    <w:p>
      <w:pPr>
        <w:pStyle w:val="ListParagraph"/>
        <w:numPr>
          <w:ilvl w:val="0"/>
          <w:numId w:val="3"/>
        </w:numPr>
        <w:spacing w:after="60"/>
        <w:jc w:val="left"/>
      </w:pPr>
      <w:r>
        <w:t xml:space="preserve">İfşa, ilk ekranda ve mesaj yazılmadan önce görünüyor.</w:t>
      </w:r>
    </w:p>
    <w:p>
      <w:pPr>
        <w:pStyle w:val="ListParagraph"/>
        <w:numPr>
          <w:ilvl w:val="0"/>
          <w:numId w:val="3"/>
        </w:numPr>
        <w:spacing w:after="60"/>
        <w:jc w:val="left"/>
      </w:pPr>
      <w:r>
        <w:t xml:space="preserve">Sohbet başlığında oturum boyunca kalıcı etiket var.</w:t>
      </w:r>
    </w:p>
    <w:p>
      <w:pPr>
        <w:pStyle w:val="ListParagraph"/>
        <w:numPr>
          <w:ilvl w:val="0"/>
          <w:numId w:val="3"/>
        </w:numPr>
        <w:spacing w:after="60"/>
        <w:jc w:val="left"/>
      </w:pPr>
      <w:r>
        <w:t xml:space="preserve">Ekran okuyucu testi yapıldı; ifşa metni sesli okunuyor.</w:t>
      </w:r>
    </w:p>
    <w:p>
      <w:pPr>
        <w:pStyle w:val="ListParagraph"/>
        <w:numPr>
          <w:ilvl w:val="0"/>
          <w:numId w:val="3"/>
        </w:numPr>
        <w:spacing w:after="60"/>
        <w:jc w:val="left"/>
      </w:pPr>
      <w:r>
        <w:t xml:space="preserve">İnsan temsilciye geçiş yolu metinde belirtildi ve fiilen çalışıyor.</w:t>
      </w:r>
    </w:p>
    <w:p>
      <w:pPr>
        <w:pStyle w:val="ListParagraph"/>
        <w:numPr>
          <w:ilvl w:val="0"/>
          <w:numId w:val="3"/>
        </w:numPr>
        <w:spacing w:after="60"/>
        <w:jc w:val="left"/>
      </w:pPr>
      <w:r>
        <w:t xml:space="preserve">Ekran görüntüsü, yayına alma tarihi ve sorumlu kişi Uyum Kayıt Defteri’ne (Belge 06) işlendi.</w:t>
      </w:r>
    </w:p>
    <w:p>
      <w:pPr>
        <w:pStyle w:val="ListParagraph"/>
        <w:numPr>
          <w:ilvl w:val="0"/>
          <w:numId w:val="3"/>
        </w:numPr>
        <w:spacing w:after="60"/>
        <w:jc w:val="left"/>
      </w:pPr>
      <w:r>
        <w:t xml:space="preserve">Metinlerin yayına alındığı tarih, denetimde kanıt olarak sunulabilecek şekilde arşivlendi.</w:t>
      </w:r>
    </w:p>
    <w:p>
      <w:pPr>
        <w:pStyle w:val="Heading1"/>
      </w:pPr>
      <w:r>
        <w:t xml:space="preserve">7. Yasal Uyarı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Yasal uyarı. </w:t>
            </w:r>
            <w:r>
              <w:rPr>
                <w:b w:val="false"/>
                <w:bCs w:val="false"/>
                <w:i w:val="false"/>
                <w:iCs w:val="false"/>
              </w:rPr>
              <w:t xml:space="preserve">Bu belge, AB Yapay Zeka Tüzüğü (Regulation (EU) 2024/1689) kapsamındaki şeffaflık yükümlülüklerine ilişkin genel nitelikli bir uyum dokümantasyon şablonudur. Belirli bir olay, sistem veya şirket bakımından hukuki mütalaa, avukatlık hizmeti veya vekâlet ilişkisi teşkil etmez. Şablonlar kullanılmadan önce şirketinizin fiili sistem envanterine göre uyarlanmalı ve yetkili bir hukuk müşaviri tarafından gözden geçirilmelidir. Mevzuat, Digital Omnibus değişiklikleri dâhil olmak üzere gelişmeye devam etmektedir; nihai metinler Avrupa Birliği Resmî Gazetesi (Official Journal) üzerinden teyit edilmelidir.</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472"/>
        <w:sz w:val="15"/>
        <w:szCs w:val="15"/>
      </w:rPr>
      <w:t xml:space="preserve">AI Uyum ve Yönetişim · Sürüm 1.0 (Temmuz 2026) · Sayfa </w:t>
    </w:r>
    <w:r>
      <w:rPr>
        <w:color w:val="5A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color w:val="5A6472"/>
        <w:sz w:val="15"/>
        <w:szCs w:val="15"/>
      </w:rPr>
      <w:t xml:space="preserve">AIA-02 · Sohbet Robotu ve Etkileşim İfşa Metinleri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abstractNum w:abstractNumId="3" w15:restartNumberingAfterBreak="0">
    <w:multiLevelType w:val="hybridMultilevel"/>
    <w:lvl w:ilvl="0" w15:tentative="1">
      <w:start w:val="1"/>
      <w:numFmt w:val="decimal"/>
      <w:lvlText w:val="%1."/>
      <w:lvlJc w:val="left"/>
      <w:pPr>
        <w:ind w:left="400" w:hanging="24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B2545" w:sz="8" w:space="6"/>
      </w:pBdr>
      <w:spacing w:after="180" w:before="400"/>
    </w:pPr>
    <w:rPr>
      <w:rFonts w:ascii="Arial" w:cs="Arial" w:eastAsia="Arial" w:hAnsi="Arial"/>
      <w:b/>
      <w:bCs/>
      <w:color w:val="0B2545"/>
      <w:sz w:val="30"/>
      <w:szCs w:val="30"/>
    </w:rPr>
  </w:style>
  <w:style w:type="paragraph" w:styleId="Heading2">
    <w:name w:val="Heading 2"/>
    <w:basedOn w:val="Normal"/>
    <w:next w:val="Normal"/>
    <w:qFormat/>
    <w:pPr>
      <w:spacing w:after="120" w:before="300"/>
    </w:pPr>
    <w:rPr>
      <w:rFonts w:ascii="Arial" w:cs="Arial" w:eastAsia="Arial" w:hAnsi="Arial"/>
      <w:b/>
      <w:bCs/>
      <w:color w:val="0B2545"/>
      <w:sz w:val="24"/>
      <w:szCs w:val="24"/>
    </w:rPr>
  </w:style>
  <w:style w:type="paragraph" w:styleId="Heading3">
    <w:name w:val="Heading 3"/>
    <w:basedOn w:val="Normal"/>
    <w:next w:val="Normal"/>
    <w:qFormat/>
    <w:pPr>
      <w:spacing w:after="90" w:before="220"/>
    </w:pPr>
    <w:rPr>
      <w:rFonts w:ascii="Arial" w:cs="Arial" w:eastAsia="Arial" w:hAnsi="Arial"/>
      <w:b/>
      <w:bCs/>
      <w:color w:val="B3122E"/>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2026-07-30T18:02:47.831Z</dcterms:created>
  <dcterms:modified xsi:type="dcterms:W3CDTF">2026-07-30T18:02:47.831Z</dcterms:modified>
</cp:coreProperties>
</file>

<file path=docProps/custom.xml><?xml version="1.0" encoding="utf-8"?>
<Properties xmlns="http://schemas.openxmlformats.org/officeDocument/2006/custom-properties" xmlns:vt="http://schemas.openxmlformats.org/officeDocument/2006/docPropsVTypes"/>
</file>