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0"/>
      </w:pPr>
      <w:r>
        <w:rPr>
          <w:b/>
          <w:bCs/>
          <w:color w:val="0B2545"/>
          <w:sz w:val="26"/>
          <w:szCs w:val="26"/>
        </w:rPr>
        <w:t xml:space="preserve"/>
      </w:r>
      <w:r>
        <w:rPr>
          <w:color w:val="5A6472"/>
          <w:sz w:val="18"/>
          <w:szCs w:val="18"/>
        </w:rPr>
        <w:t xml:space="preserve">YAPAY ZEKA UYUM VE YÖNETİŞİM</w:t>
      </w:r>
    </w:p>
    <w:p>
      <w:pPr>
        <w:pBdr>
          <w:bottom w:val="single" w:color="B3122E" w:sz="16" w:space="4"/>
        </w:pBdr>
        <w:spacing w:after="300"/>
      </w:pPr>
    </w:p>
    <w:p>
      <w:pPr>
        <w:spacing w:after="100"/>
      </w:pPr>
      <w:r>
        <w:rPr>
          <w:b/>
          <w:bCs/>
          <w:color w:val="B3122E"/>
          <w:sz w:val="18"/>
          <w:szCs w:val="18"/>
        </w:rPr>
        <w:t xml:space="preserve">AIA-03</w:t>
      </w:r>
    </w:p>
    <w:p>
      <w:pPr>
        <w:spacing w:after="100"/>
      </w:pPr>
      <w:r>
        <w:rPr>
          <w:b/>
          <w:bCs/>
          <w:color w:val="0B2545"/>
          <w:sz w:val="40"/>
          <w:szCs w:val="40"/>
        </w:rPr>
        <w:t xml:space="preserve">Sentetik İçerik İşaretleme ve Etiketleme Politikası</w:t>
      </w:r>
    </w:p>
    <w:p>
      <w:pPr>
        <w:spacing w:after="400"/>
      </w:pPr>
      <w:r>
        <w:rPr>
          <w:color w:val="5A6472"/>
          <w:sz w:val="22"/>
          <w:szCs w:val="22"/>
        </w:rPr>
        <w:t xml:space="preserve">Madde 50(2), 50(3) ve 50(4) — şirket içi politika şablonu</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B3122E" w:sz="24"/>
              <w:bottom w:val="none"/>
              <w:right w:val="none"/>
            </w:tcBorders>
            <w:shd w:fill="EEF1F5" w:val="clear"/>
            <w:tcMar>
              <w:top w:type="dxa" w:w="160"/>
              <w:left w:type="dxa" w:w="200"/>
              <w:bottom w:type="dxa" w:w="160"/>
              <w:right w:type="dxa" w:w="200"/>
            </w:tcMar>
          </w:tcPr>
          <w:p>
            <w:pPr>
              <w:jc w:val="both"/>
            </w:pPr>
            <w:r>
              <w:rPr>
                <w:b/>
                <w:bCs/>
                <w:i w:val="false"/>
                <w:iCs w:val="false"/>
              </w:rPr>
              <w:t xml:space="preserve">Kullanım notu. </w:t>
            </w:r>
            <w:r>
              <w:rPr>
                <w:b w:val="false"/>
                <w:bCs w:val="false"/>
                <w:i w:val="false"/>
                <w:iCs w:val="false"/>
              </w:rPr>
              <w:t xml:space="preserve">Bu belge bir şirket içi politika şablonudur. Köşeli parantez içindeki alanları doldurun, uygulanmayan bölümleri silin ve yönetim onayı tarihini 10. bölüme işleyin. Onaylanmamış bir politika, denetimde belge sayılmaz.</w:t>
            </w:r>
          </w:p>
        </w:tc>
      </w:tr>
    </w:tbl>
    <w:p>
      <w:pPr>
        <w:pStyle w:val="Heading1"/>
      </w:pPr>
      <w:r>
        <w:t xml:space="preserve">1. Amaç ve kapsam</w:t>
      </w:r>
    </w:p>
    <w:p>
      <w:pPr>
        <w:jc w:val="both"/>
      </w:pPr>
      <w:r>
        <w:t xml:space="preserve">Bu Politika, [ŞİRKET UNVANI] (“Şirket”) tarafından geliştirilen, sunulan veya kullanılan yapay zeka sistemleri aracılığıyla üretilen sentetik içeriğin işaretlenmesi ve etiketlenmesine ilişkin usul ve esasları düzenler.</w:t>
      </w:r>
    </w:p>
    <w:p>
      <w:pPr>
        <w:jc w:val="both"/>
      </w:pPr>
      <w:r>
        <w:t xml:space="preserve">Politika, AB Yapay Zeka Tüzüğü (Regulation (EU) 2024/1689) m. 50(2), m. 50(3), m. 50(4) ve m. 50(5) hükümlerine dayanır. Şirketin Türkiye’deki faaliyetleri bakımından 6698 sayılı Kişisel Verilerin Korunması Kanunu ve ilgili ikincil mevzuat saklıdır.</w:t>
      </w:r>
    </w:p>
    <w:p>
      <w:pPr>
        <w:jc w:val="both"/>
      </w:pPr>
      <w:r>
        <w:t xml:space="preserve">Politika, Şirketin tüm birimlerini, çalışanlarını, alt yüklenicilerini ve Şirket adına içerik üreten üçüncü tarafları kapsar.</w:t>
      </w:r>
    </w:p>
    <w:p>
      <w:pPr>
        <w:pStyle w:val="Heading1"/>
      </w:pPr>
      <w:r>
        <w:t xml:space="preserve">2. Tanımlar</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2165"/>
        <w:gridCol w:w="6855"/>
      </w:tblGrid>
      <w:tr>
        <w:trPr>
          <w:tblHeader/>
        </w:trPr>
        <w:tc>
          <w:tcPr>
            <w:tcW w:type="dxa" w:w="2165"/>
            <w:shd w:fill="0B2545" w:val="clear"/>
            <w:tcMar>
              <w:top w:type="dxa" w:w="90"/>
              <w:left w:type="dxa" w:w="120"/>
              <w:bottom w:type="dxa" w:w="90"/>
              <w:right w:type="dxa" w:w="120"/>
            </w:tcMar>
          </w:tcPr>
          <w:p>
            <w:pPr>
              <w:spacing w:after="20"/>
              <w:jc w:val="left"/>
            </w:pPr>
            <w:r>
              <w:rPr>
                <w:b/>
                <w:bCs/>
                <w:color w:val="FFFFFF"/>
                <w:sz w:val="18"/>
                <w:szCs w:val="18"/>
              </w:rPr>
              <w:t xml:space="preserve">Terim</w:t>
            </w:r>
          </w:p>
        </w:tc>
        <w:tc>
          <w:tcPr>
            <w:tcW w:type="dxa" w:w="6855"/>
            <w:shd w:fill="0B2545" w:val="clear"/>
            <w:tcMar>
              <w:top w:type="dxa" w:w="90"/>
              <w:left w:type="dxa" w:w="120"/>
              <w:bottom w:type="dxa" w:w="90"/>
              <w:right w:type="dxa" w:w="120"/>
            </w:tcMar>
          </w:tcPr>
          <w:p>
            <w:pPr>
              <w:spacing w:after="20"/>
              <w:jc w:val="left"/>
            </w:pPr>
            <w:r>
              <w:rPr>
                <w:b/>
                <w:bCs/>
                <w:color w:val="FFFFFF"/>
                <w:sz w:val="18"/>
                <w:szCs w:val="18"/>
              </w:rPr>
              <w:t xml:space="preserve">Tanım</w:t>
            </w:r>
          </w:p>
        </w:tc>
      </w:tr>
      <w:tr>
        <w:tc>
          <w:tcPr>
            <w:tcW w:type="dxa" w:w="2165"/>
            <w:shd w:fill="FFFFFF" w:val="clear"/>
            <w:tcMar>
              <w:top w:type="dxa" w:w="90"/>
              <w:left w:type="dxa" w:w="120"/>
              <w:bottom w:type="dxa" w:w="90"/>
              <w:right w:type="dxa" w:w="120"/>
            </w:tcMar>
          </w:tcPr>
          <w:p>
            <w:pPr>
              <w:spacing w:after="20"/>
              <w:jc w:val="left"/>
            </w:pPr>
            <w:r>
              <w:rPr>
                <w:b w:val="false"/>
                <w:bCs w:val="false"/>
                <w:color w:val="1A1A1A"/>
                <w:sz w:val="18"/>
                <w:szCs w:val="18"/>
              </w:rPr>
              <w:t xml:space="preserve">Sentetik içerik</w:t>
            </w:r>
          </w:p>
        </w:tc>
        <w:tc>
          <w:tcPr>
            <w:tcW w:type="dxa" w:w="6855"/>
            <w:shd w:fill="FFFFFF" w:val="clear"/>
            <w:tcMar>
              <w:top w:type="dxa" w:w="90"/>
              <w:left w:type="dxa" w:w="120"/>
              <w:bottom w:type="dxa" w:w="90"/>
              <w:right w:type="dxa" w:w="120"/>
            </w:tcMar>
          </w:tcPr>
          <w:p>
            <w:pPr>
              <w:spacing w:after="20"/>
              <w:jc w:val="left"/>
            </w:pPr>
            <w:r>
              <w:rPr>
                <w:b w:val="false"/>
                <w:bCs w:val="false"/>
                <w:color w:val="1A1A1A"/>
                <w:sz w:val="18"/>
                <w:szCs w:val="18"/>
              </w:rPr>
              <w:t xml:space="preserve">Bir yapay zeka sistemi tarafından üretilen veya değiştirilen ses, görüntü, video ya da metin.</w:t>
            </w:r>
          </w:p>
        </w:tc>
      </w:tr>
      <w:tr>
        <w:tc>
          <w:tcPr>
            <w:tcW w:type="dxa" w:w="2165"/>
            <w:shd w:fill="FFFFFF" w:val="clear"/>
            <w:tcMar>
              <w:top w:type="dxa" w:w="90"/>
              <w:left w:type="dxa" w:w="120"/>
              <w:bottom w:type="dxa" w:w="90"/>
              <w:right w:type="dxa" w:w="120"/>
            </w:tcMar>
          </w:tcPr>
          <w:p>
            <w:pPr>
              <w:spacing w:after="20"/>
              <w:jc w:val="left"/>
            </w:pPr>
            <w:r>
              <w:rPr>
                <w:b w:val="false"/>
                <w:bCs w:val="false"/>
                <w:color w:val="1A1A1A"/>
                <w:sz w:val="18"/>
                <w:szCs w:val="18"/>
              </w:rPr>
              <w:t xml:space="preserve">Makine-okunur işaretleme</w:t>
            </w:r>
          </w:p>
        </w:tc>
        <w:tc>
          <w:tcPr>
            <w:tcW w:type="dxa" w:w="6855"/>
            <w:shd w:fill="FFFFFF" w:val="clear"/>
            <w:tcMar>
              <w:top w:type="dxa" w:w="90"/>
              <w:left w:type="dxa" w:w="120"/>
              <w:bottom w:type="dxa" w:w="90"/>
              <w:right w:type="dxa" w:w="120"/>
            </w:tcMar>
          </w:tcPr>
          <w:p>
            <w:pPr>
              <w:spacing w:after="20"/>
              <w:jc w:val="left"/>
            </w:pPr>
            <w:r>
              <w:rPr>
                <w:b w:val="false"/>
                <w:bCs w:val="false"/>
                <w:color w:val="1A1A1A"/>
                <w:sz w:val="18"/>
                <w:szCs w:val="18"/>
              </w:rPr>
              <w:t xml:space="preserve">İçeriğin yapay olarak üretildiğini veya değiştirildiğini otomatik sistemlerin tespit etmesini sağlayan teknik iz (kriptografik köken metaverisi, görünmez filigran vb.).</w:t>
            </w:r>
          </w:p>
        </w:tc>
      </w:tr>
      <w:tr>
        <w:tc>
          <w:tcPr>
            <w:tcW w:type="dxa" w:w="2165"/>
            <w:shd w:fill="FFFFFF" w:val="clear"/>
            <w:tcMar>
              <w:top w:type="dxa" w:w="90"/>
              <w:left w:type="dxa" w:w="120"/>
              <w:bottom w:type="dxa" w:w="90"/>
              <w:right w:type="dxa" w:w="120"/>
            </w:tcMar>
          </w:tcPr>
          <w:p>
            <w:pPr>
              <w:spacing w:after="20"/>
              <w:jc w:val="left"/>
            </w:pPr>
            <w:r>
              <w:rPr>
                <w:b w:val="false"/>
                <w:bCs w:val="false"/>
                <w:color w:val="1A1A1A"/>
                <w:sz w:val="18"/>
                <w:szCs w:val="18"/>
              </w:rPr>
              <w:t xml:space="preserve">İnsan-okunur ifşa</w:t>
            </w:r>
          </w:p>
        </w:tc>
        <w:tc>
          <w:tcPr>
            <w:tcW w:type="dxa" w:w="6855"/>
            <w:shd w:fill="FFFFFF" w:val="clear"/>
            <w:tcMar>
              <w:top w:type="dxa" w:w="90"/>
              <w:left w:type="dxa" w:w="120"/>
              <w:bottom w:type="dxa" w:w="90"/>
              <w:right w:type="dxa" w:w="120"/>
            </w:tcMar>
          </w:tcPr>
          <w:p>
            <w:pPr>
              <w:spacing w:after="20"/>
              <w:jc w:val="left"/>
            </w:pPr>
            <w:r>
              <w:rPr>
                <w:b w:val="false"/>
                <w:bCs w:val="false"/>
                <w:color w:val="1A1A1A"/>
                <w:sz w:val="18"/>
                <w:szCs w:val="18"/>
              </w:rPr>
              <w:t xml:space="preserve">İçeriği gören veya duyan gerçek kişinin doğrudan algılayabileceği açıklama (görünür etiket, altyazı, sesli anons).</w:t>
            </w:r>
          </w:p>
        </w:tc>
      </w:tr>
      <w:tr>
        <w:tc>
          <w:tcPr>
            <w:tcW w:type="dxa" w:w="2165"/>
            <w:shd w:fill="FFFFFF" w:val="clear"/>
            <w:tcMar>
              <w:top w:type="dxa" w:w="90"/>
              <w:left w:type="dxa" w:w="120"/>
              <w:bottom w:type="dxa" w:w="90"/>
              <w:right w:type="dxa" w:w="120"/>
            </w:tcMar>
          </w:tcPr>
          <w:p>
            <w:pPr>
              <w:spacing w:after="20"/>
              <w:jc w:val="left"/>
            </w:pPr>
            <w:r>
              <w:rPr>
                <w:b w:val="false"/>
                <w:bCs w:val="false"/>
                <w:color w:val="1A1A1A"/>
                <w:sz w:val="18"/>
                <w:szCs w:val="18"/>
              </w:rPr>
              <w:t xml:space="preserve">Derin kurgu (deepfake)</w:t>
            </w:r>
          </w:p>
        </w:tc>
        <w:tc>
          <w:tcPr>
            <w:tcW w:type="dxa" w:w="6855"/>
            <w:shd w:fill="FFFFFF" w:val="clear"/>
            <w:tcMar>
              <w:top w:type="dxa" w:w="90"/>
              <w:left w:type="dxa" w:w="120"/>
              <w:bottom w:type="dxa" w:w="90"/>
              <w:right w:type="dxa" w:w="120"/>
            </w:tcMar>
          </w:tcPr>
          <w:p>
            <w:pPr>
              <w:spacing w:after="20"/>
              <w:jc w:val="left"/>
            </w:pPr>
            <w:r>
              <w:rPr>
                <w:b w:val="false"/>
                <w:bCs w:val="false"/>
                <w:color w:val="1A1A1A"/>
                <w:sz w:val="18"/>
                <w:szCs w:val="18"/>
              </w:rPr>
              <w:t xml:space="preserve">Gerçek kişilere, nesnelere, yerlere veya olaylara benzerlik gösteren ve bir kişiye gerçekmiş gibi görünen, yapay zeka ile üretilmiş veya değiştirilmiş görüntü, ses veya video içeriği.</w:t>
            </w:r>
          </w:p>
        </w:tc>
      </w:tr>
      <w:tr>
        <w:tc>
          <w:tcPr>
            <w:tcW w:type="dxa" w:w="2165"/>
            <w:shd w:fill="FFFFFF" w:val="clear"/>
            <w:tcMar>
              <w:top w:type="dxa" w:w="90"/>
              <w:left w:type="dxa" w:w="120"/>
              <w:bottom w:type="dxa" w:w="90"/>
              <w:right w:type="dxa" w:w="120"/>
            </w:tcMar>
          </w:tcPr>
          <w:p>
            <w:pPr>
              <w:spacing w:after="20"/>
              <w:jc w:val="left"/>
            </w:pPr>
            <w:r>
              <w:rPr>
                <w:b w:val="false"/>
                <w:bCs w:val="false"/>
                <w:color w:val="1A1A1A"/>
                <w:sz w:val="18"/>
                <w:szCs w:val="18"/>
              </w:rPr>
              <w:t xml:space="preserve">Sağlayıcı / Uygulayıcı</w:t>
            </w:r>
          </w:p>
        </w:tc>
        <w:tc>
          <w:tcPr>
            <w:tcW w:type="dxa" w:w="6855"/>
            <w:shd w:fill="FFFFFF" w:val="clear"/>
            <w:tcMar>
              <w:top w:type="dxa" w:w="90"/>
              <w:left w:type="dxa" w:w="120"/>
              <w:bottom w:type="dxa" w:w="90"/>
              <w:right w:type="dxa" w:w="120"/>
            </w:tcMar>
          </w:tcPr>
          <w:p>
            <w:pPr>
              <w:spacing w:after="20"/>
              <w:jc w:val="left"/>
            </w:pPr>
            <w:r>
              <w:rPr>
                <w:b w:val="false"/>
                <w:bCs w:val="false"/>
                <w:color w:val="1A1A1A"/>
                <w:sz w:val="18"/>
                <w:szCs w:val="18"/>
              </w:rPr>
              <w:t xml:space="preserve">Tüzük m. 3(3) ve m. 3(4) anlamındaki roller. Şirketin rolü sistem bazında Uyum Kayıt Defteri’nde belirlenir.</w:t>
            </w:r>
          </w:p>
        </w:tc>
      </w:tr>
    </w:tbl>
    <w:p>
      <w:pPr>
        <w:pStyle w:val="Heading1"/>
      </w:pPr>
      <w:r>
        <w:t xml:space="preserve">3. Rol tespiti (uygulamanın ön şartı)</w:t>
      </w:r>
    </w:p>
    <w:p>
      <w:pPr>
        <w:jc w:val="both"/>
      </w:pPr>
      <w:r>
        <w:t xml:space="preserve">Her yükümlülük belirli bir role bağlıdır. Envanterdeki her sistem için Şirketin rolü, içerik üretilmeye başlanmadan önce Belge 01 Bölüm B kullanılarak tespit edilir ve Uyum Kayıt Defteri’ne yazılır.</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149"/>
        <w:gridCol w:w="1984"/>
        <w:gridCol w:w="2887"/>
      </w:tblGrid>
      <w:tr>
        <w:trPr>
          <w:tblHeader/>
        </w:trPr>
        <w:tc>
          <w:tcPr>
            <w:tcW w:type="dxa" w:w="4149"/>
            <w:shd w:fill="0B2545" w:val="clear"/>
            <w:tcMar>
              <w:top w:type="dxa" w:w="90"/>
              <w:left w:type="dxa" w:w="120"/>
              <w:bottom w:type="dxa" w:w="90"/>
              <w:right w:type="dxa" w:w="120"/>
            </w:tcMar>
          </w:tcPr>
          <w:p>
            <w:pPr>
              <w:spacing w:after="20"/>
              <w:jc w:val="left"/>
            </w:pPr>
            <w:r>
              <w:rPr>
                <w:b/>
                <w:bCs/>
                <w:color w:val="FFFFFF"/>
                <w:sz w:val="18"/>
                <w:szCs w:val="18"/>
              </w:rPr>
              <w:t xml:space="preserve">Yükümlülük</w:t>
            </w:r>
          </w:p>
        </w:tc>
        <w:tc>
          <w:tcPr>
            <w:tcW w:type="dxa" w:w="1984"/>
            <w:shd w:fill="0B2545" w:val="clear"/>
            <w:tcMar>
              <w:top w:type="dxa" w:w="90"/>
              <w:left w:type="dxa" w:w="120"/>
              <w:bottom w:type="dxa" w:w="90"/>
              <w:right w:type="dxa" w:w="120"/>
            </w:tcMar>
          </w:tcPr>
          <w:p>
            <w:pPr>
              <w:spacing w:after="20"/>
              <w:jc w:val="left"/>
            </w:pPr>
            <w:r>
              <w:rPr>
                <w:b/>
                <w:bCs/>
                <w:color w:val="FFFFFF"/>
                <w:sz w:val="18"/>
                <w:szCs w:val="18"/>
              </w:rPr>
              <w:t xml:space="preserve">Dayanak</w:t>
            </w:r>
          </w:p>
        </w:tc>
        <w:tc>
          <w:tcPr>
            <w:tcW w:type="dxa" w:w="2887"/>
            <w:shd w:fill="0B2545" w:val="clear"/>
            <w:tcMar>
              <w:top w:type="dxa" w:w="90"/>
              <w:left w:type="dxa" w:w="120"/>
              <w:bottom w:type="dxa" w:w="90"/>
              <w:right w:type="dxa" w:w="120"/>
            </w:tcMar>
          </w:tcPr>
          <w:p>
            <w:pPr>
              <w:spacing w:after="20"/>
              <w:jc w:val="left"/>
            </w:pPr>
            <w:r>
              <w:rPr>
                <w:b/>
                <w:bCs/>
                <w:color w:val="FFFFFF"/>
                <w:sz w:val="18"/>
                <w:szCs w:val="18"/>
              </w:rPr>
              <w:t xml:space="preserve">Kimde</w:t>
            </w:r>
          </w:p>
        </w:tc>
      </w:tr>
      <w:tr>
        <w:tc>
          <w:tcPr>
            <w:tcW w:type="dxa" w:w="4149"/>
            <w:shd w:fill="FFFFFF" w:val="clear"/>
            <w:tcMar>
              <w:top w:type="dxa" w:w="90"/>
              <w:left w:type="dxa" w:w="120"/>
              <w:bottom w:type="dxa" w:w="90"/>
              <w:right w:type="dxa" w:w="120"/>
            </w:tcMar>
          </w:tcPr>
          <w:p>
            <w:pPr>
              <w:spacing w:after="20"/>
              <w:jc w:val="left"/>
            </w:pPr>
            <w:r>
              <w:rPr>
                <w:b w:val="false"/>
                <w:bCs w:val="false"/>
                <w:color w:val="1A1A1A"/>
                <w:sz w:val="18"/>
                <w:szCs w:val="18"/>
              </w:rPr>
              <w:t xml:space="preserve">Makine-okunur işaretleme</w:t>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50(2)</w:t>
            </w:r>
          </w:p>
        </w:tc>
        <w:tc>
          <w:tcPr>
            <w:tcW w:type="dxa" w:w="2887"/>
            <w:shd w:fill="FFFFFF" w:val="clear"/>
            <w:tcMar>
              <w:top w:type="dxa" w:w="90"/>
              <w:left w:type="dxa" w:w="120"/>
              <w:bottom w:type="dxa" w:w="90"/>
              <w:right w:type="dxa" w:w="120"/>
            </w:tcMar>
          </w:tcPr>
          <w:p>
            <w:pPr>
              <w:spacing w:after="20"/>
              <w:jc w:val="left"/>
            </w:pPr>
            <w:r>
              <w:rPr>
                <w:b w:val="false"/>
                <w:bCs w:val="false"/>
                <w:color w:val="1A1A1A"/>
                <w:sz w:val="18"/>
                <w:szCs w:val="18"/>
              </w:rPr>
              <w:t xml:space="preserve">Sağlayıcı</w:t>
            </w:r>
          </w:p>
        </w:tc>
      </w:tr>
      <w:tr>
        <w:tc>
          <w:tcPr>
            <w:tcW w:type="dxa" w:w="4149"/>
            <w:shd w:fill="FFFFFF" w:val="clear"/>
            <w:tcMar>
              <w:top w:type="dxa" w:w="90"/>
              <w:left w:type="dxa" w:w="120"/>
              <w:bottom w:type="dxa" w:w="90"/>
              <w:right w:type="dxa" w:w="120"/>
            </w:tcMar>
          </w:tcPr>
          <w:p>
            <w:pPr>
              <w:spacing w:after="20"/>
              <w:jc w:val="left"/>
            </w:pPr>
            <w:r>
              <w:rPr>
                <w:b w:val="false"/>
                <w:bCs w:val="false"/>
                <w:color w:val="1A1A1A"/>
                <w:sz w:val="18"/>
                <w:szCs w:val="18"/>
              </w:rPr>
              <w:t xml:space="preserve">Deepfake ifşası</w:t>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50(4)/1</w:t>
            </w:r>
          </w:p>
        </w:tc>
        <w:tc>
          <w:tcPr>
            <w:tcW w:type="dxa" w:w="2887"/>
            <w:shd w:fill="FFFFFF" w:val="clear"/>
            <w:tcMar>
              <w:top w:type="dxa" w:w="90"/>
              <w:left w:type="dxa" w:w="120"/>
              <w:bottom w:type="dxa" w:w="90"/>
              <w:right w:type="dxa" w:w="120"/>
            </w:tcMar>
          </w:tcPr>
          <w:p>
            <w:pPr>
              <w:spacing w:after="20"/>
              <w:jc w:val="left"/>
            </w:pPr>
            <w:r>
              <w:rPr>
                <w:b w:val="false"/>
                <w:bCs w:val="false"/>
                <w:color w:val="1A1A1A"/>
                <w:sz w:val="18"/>
                <w:szCs w:val="18"/>
              </w:rPr>
              <w:t xml:space="preserve">Uygulayıcı</w:t>
            </w:r>
          </w:p>
        </w:tc>
      </w:tr>
      <w:tr>
        <w:tc>
          <w:tcPr>
            <w:tcW w:type="dxa" w:w="4149"/>
            <w:shd w:fill="FFFFFF" w:val="clear"/>
            <w:tcMar>
              <w:top w:type="dxa" w:w="90"/>
              <w:left w:type="dxa" w:w="120"/>
              <w:bottom w:type="dxa" w:w="90"/>
              <w:right w:type="dxa" w:w="120"/>
            </w:tcMar>
          </w:tcPr>
          <w:p>
            <w:pPr>
              <w:spacing w:after="20"/>
              <w:jc w:val="left"/>
            </w:pPr>
            <w:r>
              <w:rPr>
                <w:b w:val="false"/>
                <w:bCs w:val="false"/>
                <w:color w:val="1A1A1A"/>
                <w:sz w:val="18"/>
                <w:szCs w:val="18"/>
              </w:rPr>
              <w:t xml:space="preserve">Kamu yararına metinde ifşa</w:t>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50(4)/2</w:t>
            </w:r>
          </w:p>
        </w:tc>
        <w:tc>
          <w:tcPr>
            <w:tcW w:type="dxa" w:w="2887"/>
            <w:shd w:fill="FFFFFF" w:val="clear"/>
            <w:tcMar>
              <w:top w:type="dxa" w:w="90"/>
              <w:left w:type="dxa" w:w="120"/>
              <w:bottom w:type="dxa" w:w="90"/>
              <w:right w:type="dxa" w:w="120"/>
            </w:tcMar>
          </w:tcPr>
          <w:p>
            <w:pPr>
              <w:spacing w:after="20"/>
              <w:jc w:val="left"/>
            </w:pPr>
            <w:r>
              <w:rPr>
                <w:b w:val="false"/>
                <w:bCs w:val="false"/>
                <w:color w:val="1A1A1A"/>
                <w:sz w:val="18"/>
                <w:szCs w:val="18"/>
              </w:rPr>
              <w:t xml:space="preserve">Uygulayıcı</w:t>
            </w:r>
          </w:p>
        </w:tc>
      </w:tr>
      <w:tr>
        <w:tc>
          <w:tcPr>
            <w:tcW w:type="dxa" w:w="4149"/>
            <w:shd w:fill="FFFFFF" w:val="clear"/>
            <w:tcMar>
              <w:top w:type="dxa" w:w="90"/>
              <w:left w:type="dxa" w:w="120"/>
              <w:bottom w:type="dxa" w:w="90"/>
              <w:right w:type="dxa" w:w="120"/>
            </w:tcMar>
          </w:tcPr>
          <w:p>
            <w:pPr>
              <w:spacing w:after="20"/>
              <w:jc w:val="left"/>
            </w:pPr>
            <w:r>
              <w:rPr>
                <w:b w:val="false"/>
                <w:bCs w:val="false"/>
                <w:color w:val="1A1A1A"/>
                <w:sz w:val="18"/>
                <w:szCs w:val="18"/>
              </w:rPr>
              <w:t xml:space="preserve">Duygu tanıma / biyometrik sınıflandırmada bilgilendirme</w:t>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50(3)</w:t>
            </w:r>
          </w:p>
        </w:tc>
        <w:tc>
          <w:tcPr>
            <w:tcW w:type="dxa" w:w="2887"/>
            <w:shd w:fill="FFFFFF" w:val="clear"/>
            <w:tcMar>
              <w:top w:type="dxa" w:w="90"/>
              <w:left w:type="dxa" w:w="120"/>
              <w:bottom w:type="dxa" w:w="90"/>
              <w:right w:type="dxa" w:w="120"/>
            </w:tcMar>
          </w:tcPr>
          <w:p>
            <w:pPr>
              <w:spacing w:after="20"/>
              <w:jc w:val="left"/>
            </w:pPr>
            <w:r>
              <w:rPr>
                <w:b w:val="false"/>
                <w:bCs w:val="false"/>
                <w:color w:val="1A1A1A"/>
                <w:sz w:val="18"/>
                <w:szCs w:val="18"/>
              </w:rPr>
              <w:t xml:space="preserve">Uygulayıcı</w:t>
            </w:r>
          </w:p>
        </w:tc>
      </w:tr>
    </w:tbl>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B3122E" w:sz="24"/>
              <w:bottom w:val="none"/>
              <w:right w:val="none"/>
            </w:tcBorders>
            <w:shd w:fill="FDECEE" w:val="clear"/>
            <w:tcMar>
              <w:top w:type="dxa" w:w="160"/>
              <w:left w:type="dxa" w:w="200"/>
              <w:bottom w:type="dxa" w:w="160"/>
              <w:right w:type="dxa" w:w="200"/>
            </w:tcMar>
          </w:tcPr>
          <w:p>
            <w:pPr>
              <w:jc w:val="both"/>
            </w:pPr>
            <w:r>
              <w:rPr>
                <w:b/>
                <w:bCs/>
                <w:i w:val="false"/>
                <w:iCs w:val="false"/>
              </w:rPr>
              <w:t xml:space="preserve">Uyarı. </w:t>
            </w:r>
            <w:r>
              <w:rPr>
                <w:b w:val="false"/>
                <w:bCs w:val="false"/>
                <w:i w:val="false"/>
                <w:iCs w:val="false"/>
              </w:rPr>
              <w:t xml:space="preserve">Üçüncü taraf bir modeli kendi markası altında sunan Şirket, Tüzük m. 25 uyarınca sağlayıcı sayılır ve m. 50(2) kapsamındaki işaretleme yükümlülüğünü üstlenir. Bu durumda teknik işaretleme kabiliyeti, tedarikçi sözleşmesine Belge 04’teki hükümlerle eklenmelidir.</w:t>
            </w:r>
          </w:p>
        </w:tc>
      </w:tr>
    </w:tbl>
    <w:p>
      <w:pPr>
        <w:pStyle w:val="Heading1"/>
      </w:pPr>
      <w:r>
        <w:t xml:space="preserve">4. Makine-okunur işaretleme (m. 50(2))</w:t>
      </w:r>
    </w:p>
    <w:p>
      <w:pPr>
        <w:jc w:val="both"/>
      </w:pPr>
      <w:r>
        <w:t xml:space="preserve">Sağlayıcı sıfatıyla ürettiğimiz sentetik çıktılar, teknik olarak mümkün olduğu ölçüde makine tarafından okunabilir biçimde işaretlenir ve yapay olarak üretildiği tespit edilebilir hâle getirilir. Teknik çözümler; içerik türünün özellikleri ve sınırları, uygulama maliyeti ve teknolojinin genel kabul görmüş güncel düzeyi gözetilerek etkin, birlikte çalışabilir, sağlam ve güvenilir olacak şekilde seçilir.</w:t>
      </w:r>
    </w:p>
    <w:p>
      <w:pPr>
        <w:pStyle w:val="Heading3"/>
      </w:pPr>
      <w:r>
        <w:t xml:space="preserve">4.1. İçerik türüne göre asgari uygulama</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443"/>
        <w:gridCol w:w="4149"/>
        <w:gridCol w:w="3428"/>
      </w:tblGrid>
      <w:tr>
        <w:trPr>
          <w:tblHeader/>
        </w:trPr>
        <w:tc>
          <w:tcPr>
            <w:tcW w:type="dxa" w:w="1443"/>
            <w:shd w:fill="0B2545" w:val="clear"/>
            <w:tcMar>
              <w:top w:type="dxa" w:w="90"/>
              <w:left w:type="dxa" w:w="120"/>
              <w:bottom w:type="dxa" w:w="90"/>
              <w:right w:type="dxa" w:w="120"/>
            </w:tcMar>
          </w:tcPr>
          <w:p>
            <w:pPr>
              <w:spacing w:after="20"/>
              <w:jc w:val="left"/>
            </w:pPr>
            <w:r>
              <w:rPr>
                <w:b/>
                <w:bCs/>
                <w:color w:val="FFFFFF"/>
                <w:sz w:val="18"/>
                <w:szCs w:val="18"/>
              </w:rPr>
              <w:t xml:space="preserve">İçerik türü</w:t>
            </w:r>
          </w:p>
        </w:tc>
        <w:tc>
          <w:tcPr>
            <w:tcW w:type="dxa" w:w="4149"/>
            <w:shd w:fill="0B2545" w:val="clear"/>
            <w:tcMar>
              <w:top w:type="dxa" w:w="90"/>
              <w:left w:type="dxa" w:w="120"/>
              <w:bottom w:type="dxa" w:w="90"/>
              <w:right w:type="dxa" w:w="120"/>
            </w:tcMar>
          </w:tcPr>
          <w:p>
            <w:pPr>
              <w:spacing w:after="20"/>
              <w:jc w:val="left"/>
            </w:pPr>
            <w:r>
              <w:rPr>
                <w:b/>
                <w:bCs/>
                <w:color w:val="FFFFFF"/>
                <w:sz w:val="18"/>
                <w:szCs w:val="18"/>
              </w:rPr>
              <w:t xml:space="preserve">Asgari işaretleme</w:t>
            </w:r>
          </w:p>
        </w:tc>
        <w:tc>
          <w:tcPr>
            <w:tcW w:type="dxa" w:w="3428"/>
            <w:shd w:fill="0B2545" w:val="clear"/>
            <w:tcMar>
              <w:top w:type="dxa" w:w="90"/>
              <w:left w:type="dxa" w:w="120"/>
              <w:bottom w:type="dxa" w:w="90"/>
              <w:right w:type="dxa" w:w="120"/>
            </w:tcMar>
          </w:tcPr>
          <w:p>
            <w:pPr>
              <w:spacing w:after="20"/>
              <w:jc w:val="left"/>
            </w:pPr>
            <w:r>
              <w:rPr>
                <w:b/>
                <w:bCs/>
                <w:color w:val="FFFFFF"/>
                <w:sz w:val="18"/>
                <w:szCs w:val="18"/>
              </w:rPr>
              <w:t xml:space="preserve">İlave önlem</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Görsel</w:t>
            </w:r>
          </w:p>
        </w:tc>
        <w:tc>
          <w:tcPr>
            <w:tcW w:type="dxa" w:w="4149"/>
            <w:shd w:fill="FFFFFF" w:val="clear"/>
            <w:tcMar>
              <w:top w:type="dxa" w:w="90"/>
              <w:left w:type="dxa" w:w="120"/>
              <w:bottom w:type="dxa" w:w="90"/>
              <w:right w:type="dxa" w:w="120"/>
            </w:tcMar>
          </w:tcPr>
          <w:p>
            <w:pPr>
              <w:spacing w:after="20"/>
              <w:jc w:val="left"/>
            </w:pPr>
            <w:r>
              <w:rPr>
                <w:b w:val="false"/>
                <w:bCs w:val="false"/>
                <w:color w:val="1A1A1A"/>
                <w:sz w:val="18"/>
                <w:szCs w:val="18"/>
              </w:rPr>
              <w:t xml:space="preserve">C2PA / Content Credentials köken metaverisi çıktıya gömülür</w:t>
            </w:r>
          </w:p>
        </w:tc>
        <w:tc>
          <w:tcPr>
            <w:tcW w:type="dxa" w:w="3428"/>
            <w:shd w:fill="FFFFFF" w:val="clear"/>
            <w:tcMar>
              <w:top w:type="dxa" w:w="90"/>
              <w:left w:type="dxa" w:w="120"/>
              <w:bottom w:type="dxa" w:w="90"/>
              <w:right w:type="dxa" w:w="120"/>
            </w:tcMar>
          </w:tcPr>
          <w:p>
            <w:pPr>
              <w:spacing w:after="20"/>
              <w:jc w:val="left"/>
            </w:pPr>
            <w:r>
              <w:rPr>
                <w:b w:val="false"/>
                <w:bCs w:val="false"/>
                <w:color w:val="1A1A1A"/>
                <w:sz w:val="18"/>
                <w:szCs w:val="18"/>
              </w:rPr>
              <w:t xml:space="preserve">Görünmez filigran; dosya adı ve alt metinde üretim bilgisi</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Video</w:t>
            </w:r>
          </w:p>
        </w:tc>
        <w:tc>
          <w:tcPr>
            <w:tcW w:type="dxa" w:w="4149"/>
            <w:shd w:fill="FFFFFF" w:val="clear"/>
            <w:tcMar>
              <w:top w:type="dxa" w:w="90"/>
              <w:left w:type="dxa" w:w="120"/>
              <w:bottom w:type="dxa" w:w="90"/>
              <w:right w:type="dxa" w:w="120"/>
            </w:tcMar>
          </w:tcPr>
          <w:p>
            <w:pPr>
              <w:spacing w:after="20"/>
              <w:jc w:val="left"/>
            </w:pPr>
            <w:r>
              <w:rPr>
                <w:b w:val="false"/>
                <w:bCs w:val="false"/>
                <w:color w:val="1A1A1A"/>
                <w:sz w:val="18"/>
                <w:szCs w:val="18"/>
              </w:rPr>
              <w:t xml:space="preserve">C2PA manifestosu; ses ve görüntü katmanı ayrı ayrı işaretlenir</w:t>
            </w:r>
          </w:p>
        </w:tc>
        <w:tc>
          <w:tcPr>
            <w:tcW w:type="dxa" w:w="3428"/>
            <w:shd w:fill="FFFFFF" w:val="clear"/>
            <w:tcMar>
              <w:top w:type="dxa" w:w="90"/>
              <w:left w:type="dxa" w:w="120"/>
              <w:bottom w:type="dxa" w:w="90"/>
              <w:right w:type="dxa" w:w="120"/>
            </w:tcMar>
          </w:tcPr>
          <w:p>
            <w:pPr>
              <w:spacing w:after="20"/>
              <w:jc w:val="left"/>
            </w:pPr>
            <w:r>
              <w:rPr>
                <w:b w:val="false"/>
                <w:bCs w:val="false"/>
                <w:color w:val="1A1A1A"/>
                <w:sz w:val="18"/>
                <w:szCs w:val="18"/>
              </w:rPr>
              <w:t xml:space="preserve">Açılış karesinde görünür etiket</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Ses</w:t>
            </w:r>
          </w:p>
        </w:tc>
        <w:tc>
          <w:tcPr>
            <w:tcW w:type="dxa" w:w="4149"/>
            <w:shd w:fill="FFFFFF" w:val="clear"/>
            <w:tcMar>
              <w:top w:type="dxa" w:w="90"/>
              <w:left w:type="dxa" w:w="120"/>
              <w:bottom w:type="dxa" w:w="90"/>
              <w:right w:type="dxa" w:w="120"/>
            </w:tcMar>
          </w:tcPr>
          <w:p>
            <w:pPr>
              <w:spacing w:after="20"/>
              <w:jc w:val="left"/>
            </w:pPr>
            <w:r>
              <w:rPr>
                <w:b w:val="false"/>
                <w:bCs w:val="false"/>
                <w:color w:val="1A1A1A"/>
                <w:sz w:val="18"/>
                <w:szCs w:val="18"/>
              </w:rPr>
              <w:t xml:space="preserve">Sağlayıcının sunduğu duyulmaz filigran etkinleştirilir</w:t>
            </w:r>
          </w:p>
        </w:tc>
        <w:tc>
          <w:tcPr>
            <w:tcW w:type="dxa" w:w="3428"/>
            <w:shd w:fill="FFFFFF" w:val="clear"/>
            <w:tcMar>
              <w:top w:type="dxa" w:w="90"/>
              <w:left w:type="dxa" w:w="120"/>
              <w:bottom w:type="dxa" w:w="90"/>
              <w:right w:type="dxa" w:w="120"/>
            </w:tcMar>
          </w:tcPr>
          <w:p>
            <w:pPr>
              <w:spacing w:after="20"/>
              <w:jc w:val="left"/>
            </w:pPr>
            <w:r>
              <w:rPr>
                <w:b w:val="false"/>
                <w:bCs w:val="false"/>
                <w:color w:val="1A1A1A"/>
                <w:sz w:val="18"/>
                <w:szCs w:val="18"/>
              </w:rPr>
              <w:t xml:space="preserve">Kaydın başında sözlü ifşa</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Metin</w:t>
            </w:r>
          </w:p>
        </w:tc>
        <w:tc>
          <w:tcPr>
            <w:tcW w:type="dxa" w:w="4149"/>
            <w:shd w:fill="FFFFFF" w:val="clear"/>
            <w:tcMar>
              <w:top w:type="dxa" w:w="90"/>
              <w:left w:type="dxa" w:w="120"/>
              <w:bottom w:type="dxa" w:w="90"/>
              <w:right w:type="dxa" w:w="120"/>
            </w:tcMar>
          </w:tcPr>
          <w:p>
            <w:pPr>
              <w:spacing w:after="20"/>
              <w:jc w:val="left"/>
            </w:pPr>
            <w:r>
              <w:rPr>
                <w:b w:val="false"/>
                <w:bCs w:val="false"/>
                <w:color w:val="1A1A1A"/>
                <w:sz w:val="18"/>
                <w:szCs w:val="18"/>
              </w:rPr>
              <w:t xml:space="preserve">Yayın sisteminde makine-okunur köken alanı (metadata / schema işaretlemesi)</w:t>
            </w:r>
          </w:p>
        </w:tc>
        <w:tc>
          <w:tcPr>
            <w:tcW w:type="dxa" w:w="3428"/>
            <w:shd w:fill="FFFFFF" w:val="clear"/>
            <w:tcMar>
              <w:top w:type="dxa" w:w="90"/>
              <w:left w:type="dxa" w:w="120"/>
              <w:bottom w:type="dxa" w:w="90"/>
              <w:right w:type="dxa" w:w="120"/>
            </w:tcMar>
          </w:tcPr>
          <w:p>
            <w:pPr>
              <w:spacing w:after="20"/>
              <w:jc w:val="left"/>
            </w:pPr>
            <w:r>
              <w:rPr>
                <w:b w:val="false"/>
                <w:bCs w:val="false"/>
                <w:color w:val="1A1A1A"/>
                <w:sz w:val="18"/>
                <w:szCs w:val="18"/>
              </w:rPr>
              <w:t xml:space="preserve">Yayın altında görünür ibare</w:t>
            </w:r>
          </w:p>
        </w:tc>
      </w:tr>
    </w:tbl>
    <w:p>
      <w:pPr>
        <w:spacing w:after="120"/>
      </w:pPr>
    </w:p>
    <w:p>
      <w:pPr>
        <w:jc w:val="both"/>
      </w:pPr>
      <w:r>
        <w:rPr>
          <w:b/>
          <w:bCs/>
          <w:i w:val="false"/>
          <w:iCs w:val="false"/>
        </w:rPr>
        <w:t xml:space="preserve">Bilinen sınır. </w:t>
      </w:r>
      <w:r>
        <w:rPr>
          <w:b w:val="false"/>
          <w:bCs w:val="false"/>
          <w:i w:val="false"/>
          <w:iCs w:val="false"/>
        </w:rPr>
        <w:t xml:space="preserve">Metin içeriğinde makine-okunur işaretleme, görsel ve seste olduğu kadar olgun değildir. Tüzük “teknik olarak mümkün olduğu ölçüde” kaydını içerdiğinden, seçilen çözümün gerekçesi, değerlendirilen alternatifler ve karar tarihi Uyum Kayıt Defteri’ne yazılır. Gerekçesiz uygulanmama, uyumsuzluk olarak değerlendirilir.</w:t>
      </w:r>
    </w:p>
    <w:p>
      <w:pPr>
        <w:pStyle w:val="Heading3"/>
      </w:pPr>
      <w:r>
        <w:t xml:space="preserve">4.2. İstisnalar</w:t>
      </w:r>
    </w:p>
    <w:p>
      <w:pPr>
        <w:jc w:val="both"/>
      </w:pPr>
      <w:r>
        <w:t xml:space="preserve">İşaretleme yükümlülüğü, sistemin standart düzenleme (editing) için yardımcı bir işlev görmesi ya da uygulayıcının sağladığı girdi verisini veya bunun anlamını esaslı biçimde değiştirmemesi hâlinde uygulanmaz.</w:t>
      </w:r>
    </w:p>
    <w:p>
      <w:pPr>
        <w:pStyle w:val="ListParagraph"/>
        <w:numPr>
          <w:ilvl w:val="0"/>
          <w:numId w:val="2"/>
        </w:numPr>
        <w:spacing w:after="60"/>
        <w:jc w:val="left"/>
      </w:pPr>
      <w:r>
        <w:rPr>
          <w:b/>
          <w:bCs/>
          <w:i w:val="false"/>
          <w:iCs w:val="false"/>
        </w:rPr>
        <w:t xml:space="preserve">İstisna kapsamında sayılan (örnek): </w:t>
      </w:r>
      <w:r>
        <w:rPr>
          <w:b w:val="false"/>
          <w:bCs w:val="false"/>
          <w:i w:val="false"/>
          <w:iCs w:val="false"/>
        </w:rPr>
        <w:t xml:space="preserve">imla ve dilbilgisi düzeltmesi, gürültü azaltma, otomatik pozlama düzeltmesi, biçimlendirme.</w:t>
      </w:r>
    </w:p>
    <w:p>
      <w:pPr>
        <w:pStyle w:val="ListParagraph"/>
        <w:numPr>
          <w:ilvl w:val="0"/>
          <w:numId w:val="2"/>
        </w:numPr>
        <w:spacing w:after="60"/>
        <w:jc w:val="left"/>
      </w:pPr>
      <w:r>
        <w:rPr>
          <w:b/>
          <w:bCs/>
          <w:i w:val="false"/>
          <w:iCs w:val="false"/>
        </w:rPr>
        <w:t xml:space="preserve">İstisna kapsamında sayılmayan (örnek): </w:t>
      </w:r>
      <w:r>
        <w:rPr>
          <w:b w:val="false"/>
          <w:bCs w:val="false"/>
          <w:i w:val="false"/>
          <w:iCs w:val="false"/>
        </w:rPr>
        <w:t xml:space="preserve">metnin yeniden yazılması, görselde nesne ekleme veya çıkarma, arka plan değiştirme, sesin başka bir kişinin sesine dönüştürülmesi, özetin kaynağın anlamını değiştirecek biçimde üretilmesi.</w:t>
      </w:r>
    </w:p>
    <w:p>
      <w:pPr>
        <w:jc w:val="both"/>
      </w:pPr>
      <w:r>
        <w:t xml:space="preserve">İstisnaya dayanılan her hâlde gerekçe kayda geçirilir.</w:t>
      </w:r>
    </w:p>
    <w:p>
      <w:pPr>
        <w:pStyle w:val="Heading1"/>
      </w:pPr>
      <w:r>
        <w:t xml:space="preserve">5. Derin kurgu (deepfake) ifşası (m. 50(4)/1)</w:t>
      </w:r>
    </w:p>
    <w:p>
      <w:pPr>
        <w:jc w:val="both"/>
      </w:pPr>
      <w:r>
        <w:t xml:space="preserve">Uygulayıcı sıfatıyla ürettiğimiz veya değiştirdiğimiz görüntü, ses ve video içeriği, gerçek kişilere, nesnelere, yerlere veya olaylara benzerlik gösterip gerçekmiş gibi görünüyorsa, içeriğin yapay olarak üretildiği veya değiştirildiği açıkça belirtilir.</w:t>
      </w:r>
    </w:p>
    <w:p>
      <w:pPr>
        <w:pStyle w:val="Heading3"/>
      </w:pPr>
      <w:r>
        <w:t xml:space="preserve">5.1. İfşa biçimi</w:t>
      </w:r>
    </w:p>
    <w:p>
      <w:pPr>
        <w:pStyle w:val="ListParagraph"/>
        <w:numPr>
          <w:ilvl w:val="0"/>
          <w:numId w:val="2"/>
        </w:numPr>
        <w:spacing w:after="60"/>
        <w:jc w:val="left"/>
      </w:pPr>
      <w:r>
        <w:t xml:space="preserve">Videoda: ilk 3 saniyede ekranda kalıcı ve okunabilir etiket ile açıklamada yazılı ibare.</w:t>
      </w:r>
    </w:p>
    <w:p>
      <w:pPr>
        <w:pStyle w:val="ListParagraph"/>
        <w:numPr>
          <w:ilvl w:val="0"/>
          <w:numId w:val="2"/>
        </w:numPr>
        <w:spacing w:after="60"/>
        <w:jc w:val="left"/>
      </w:pPr>
      <w:r>
        <w:t xml:space="preserve">Görselde: görselin üzerinde veya hemen bitişiğinde görünür ibare; yalnızca gönderi metninde yer alan ibare yetersizdir.</w:t>
      </w:r>
    </w:p>
    <w:p>
      <w:pPr>
        <w:pStyle w:val="ListParagraph"/>
        <w:numPr>
          <w:ilvl w:val="0"/>
          <w:numId w:val="2"/>
        </w:numPr>
        <w:spacing w:after="60"/>
        <w:jc w:val="left"/>
      </w:pPr>
      <w:r>
        <w:t xml:space="preserve">Seste: kaydın başında sözlü ifşa.</w:t>
      </w:r>
    </w:p>
    <w:p>
      <w:pPr>
        <w:pStyle w:val="ListParagraph"/>
        <w:numPr>
          <w:ilvl w:val="0"/>
          <w:numId w:val="2"/>
        </w:numPr>
        <w:spacing w:after="60"/>
        <w:jc w:val="left"/>
      </w:pPr>
      <w:r>
        <w:t xml:space="preserve">Reklamda: mecra kurallarından bağımsız olarak, ifşa reklam kreatifinin kendi üzerinde yer alır.</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
        <w:gridCol w:w="8118"/>
      </w:tblGrid>
      <w:tr>
        <w:trPr>
          <w:tblHeader/>
        </w:trPr>
        <w:tc>
          <w:tcPr>
            <w:tcW w:type="dxa" w:w="902"/>
            <w:shd w:fill="0B2545" w:val="clear"/>
            <w:tcMar>
              <w:top w:type="dxa" w:w="90"/>
              <w:left w:type="dxa" w:w="120"/>
              <w:bottom w:type="dxa" w:w="90"/>
              <w:right w:type="dxa" w:w="120"/>
            </w:tcMar>
          </w:tcPr>
          <w:p>
            <w:pPr>
              <w:spacing w:after="20"/>
              <w:jc w:val="left"/>
            </w:pPr>
            <w:r>
              <w:rPr>
                <w:b/>
                <w:bCs/>
                <w:color w:val="FFFFFF"/>
                <w:sz w:val="18"/>
                <w:szCs w:val="18"/>
              </w:rPr>
              <w:t xml:space="preserve">Dil</w:t>
            </w:r>
          </w:p>
        </w:tc>
        <w:tc>
          <w:tcPr>
            <w:tcW w:type="dxa" w:w="8118"/>
            <w:shd w:fill="0B2545" w:val="clear"/>
            <w:tcMar>
              <w:top w:type="dxa" w:w="90"/>
              <w:left w:type="dxa" w:w="120"/>
              <w:bottom w:type="dxa" w:w="90"/>
              <w:right w:type="dxa" w:w="120"/>
            </w:tcMar>
          </w:tcPr>
          <w:p>
            <w:pPr>
              <w:spacing w:after="20"/>
              <w:jc w:val="left"/>
            </w:pPr>
            <w:r>
              <w:rPr>
                <w:b/>
                <w:bCs/>
                <w:color w:val="FFFFFF"/>
                <w:sz w:val="18"/>
                <w:szCs w:val="18"/>
              </w:rPr>
              <w:t xml:space="preserve">Standart ifşa metni</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TR</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“Bu içerik yapay zeka ile üretilmiştir.” / “Bu görüntü yapay zeka ile değiştirilmiştir.”</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EN</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“This content was generated using artificial intelligence.” / “This image has been altered using AI.”</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DE</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“Dieser Inhalt wurde mit künstlicher Intelligenz erzeugt.” / “Dieses Bild wurde mit KI verändert.”</w:t>
            </w:r>
          </w:p>
        </w:tc>
      </w:tr>
    </w:tbl>
    <w:p>
      <w:pPr>
        <w:pStyle w:val="Heading3"/>
      </w:pPr>
      <w:r>
        <w:t xml:space="preserve">5.2. Sanatsal eser istisnası</w:t>
      </w:r>
    </w:p>
    <w:p>
      <w:pPr>
        <w:jc w:val="both"/>
      </w:pPr>
      <w:r>
        <w:t xml:space="preserve">İçerik açıkça sanatsal, yaratıcı, hicivsel, kurgusal veya benzeri bir eserin parçasıysa, ifşa yükümlülüğü eserin gösterimini veya izlenmesini engellemeyecek uygun bir biçimde bu içeriğin varlığının açıklanmasıyla sınırlıdır. Bu, ifşadan muafiyet değildir; yalnızca ifşanın biçimini ve yerleşimini esnetir. Örneğin jenerikte veya eser künyesinde yapılan açıklama yeterli olabilir.</w:t>
      </w:r>
    </w:p>
    <w:p>
      <w:pPr>
        <w:pStyle w:val="Heading1"/>
      </w:pPr>
      <w:r>
        <w:t xml:space="preserve">6. Kamu yararına metin ve diğer ifşalar</w:t>
      </w:r>
    </w:p>
    <w:p>
      <w:pPr>
        <w:pStyle w:val="Heading3"/>
      </w:pPr>
      <w:r>
        <w:t xml:space="preserve">6.1. Kamuoyunu bilgilendiren metinler (m. 50(4)/2)</w:t>
      </w:r>
    </w:p>
    <w:p>
      <w:pPr>
        <w:jc w:val="both"/>
      </w:pPr>
      <w:r>
        <w:t xml:space="preserve">Kamuoyunu kamu yararına ilişkin konularda bilgilendirmek amacıyla yayımlanan ve yapay zeka ile üretilen veya değiştirilen metinlerde, metnin yapay olarak üretildiği açıklanır.</w:t>
      </w:r>
    </w:p>
    <w:p>
      <w:pPr>
        <w:jc w:val="both"/>
      </w:pPr>
      <w:r>
        <w:rPr>
          <w:b/>
          <w:bCs/>
          <w:i w:val="false"/>
          <w:iCs w:val="false"/>
        </w:rPr>
        <w:t xml:space="preserve">İstisna: </w:t>
      </w:r>
      <w:r>
        <w:rPr>
          <w:b w:val="false"/>
          <w:bCs w:val="false"/>
          <w:i w:val="false"/>
          <w:iCs w:val="false"/>
        </w:rPr>
        <w:t xml:space="preserve">İçerik insan incelemesinden veya editoryal kontrolden geçmişse ve yayımın editoryal sorumluluğunu üstlenen bir gerçek veya tüzel kişi varsa ifşa gerekmez. Şirket bu istisnaya dayanacaksa, her yayın için inceleyen kişinin adı, inceleme tarihi ve yapılan değişikliklerin kaydı tutulur. Kayıt yoksa istisna ileri sürülemez.</w:t>
      </w:r>
    </w:p>
    <w:p>
      <w:pPr>
        <w:pStyle w:val="Heading3"/>
      </w:pPr>
      <w:r>
        <w:t xml:space="preserve">6.2. Duygu tanıma ve biyometrik sınıflandırma (m. 50(3))</w:t>
      </w:r>
    </w:p>
    <w:p>
      <w:pPr>
        <w:jc w:val="both"/>
      </w:pPr>
      <w:r>
        <w:t xml:space="preserve">Şirket, duygu tanıma veya biyometrik sınıflandırma sistemi kullanıyorsa, sisteme maruz kalan gerçek kişileri sistemin işleyişi hakkında bilgilendirir ve kişisel verileri ilgili veri koruma mevzuatına uygun olarak işler.</w:t>
      </w:r>
    </w:p>
    <w:p>
      <w:pPr>
        <w:jc w:val="both"/>
      </w:pPr>
      <w:r>
        <w:rPr>
          <w:b/>
          <w:bCs/>
          <w:i w:val="false"/>
          <w:iCs w:val="false"/>
        </w:rPr>
        <w:t xml:space="preserve">Ön kontrol: </w:t>
      </w:r>
      <w:r>
        <w:rPr>
          <w:b w:val="false"/>
          <w:bCs w:val="false"/>
          <w:i w:val="false"/>
          <w:iCs w:val="false"/>
        </w:rPr>
        <w:t xml:space="preserve">İşyerinde ve eğitim kurumlarında duygu tanıma, Tüzük m. 5 kapsamında yasaklı uygulamalar arasındadır. Bu bölümü uygulamadan önce sistemin yasak kapsamında olup olmadığı ayrıca değerlendirilir.</w:t>
      </w:r>
    </w:p>
    <w:p>
      <w:pPr>
        <w:pStyle w:val="Heading1"/>
      </w:pPr>
      <w:r>
        <w:t xml:space="preserve">7. Zamanlama ve sunum (m. 50(5))</w:t>
      </w:r>
    </w:p>
    <w:p>
      <w:pPr>
        <w:jc w:val="both"/>
      </w:pPr>
      <w:r>
        <w:t xml:space="preserve">Bu Politika kapsamındaki tüm bilgilendirmeler, ilgili gerçek kişilere en geç ilk etkileşim veya ilk maruz kalma anında, açık ve ayırt edilebilir biçimde ve uygulanabilir erişilebilirlik gerekliliklerine uygun olarak sunulur.</w:t>
      </w:r>
    </w:p>
    <w:p>
      <w:pPr>
        <w:pStyle w:val="Heading1"/>
      </w:pPr>
      <w:r>
        <w:t xml:space="preserve">8. Mevcut (legacy) sistemler için geçiş</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984"/>
        <w:gridCol w:w="7036"/>
      </w:tblGrid>
      <w:tr>
        <w:trPr>
          <w:tblHeader/>
        </w:trPr>
        <w:tc>
          <w:tcPr>
            <w:tcW w:type="dxa" w:w="1984"/>
            <w:shd w:fill="0B2545" w:val="clear"/>
            <w:tcMar>
              <w:top w:type="dxa" w:w="90"/>
              <w:left w:type="dxa" w:w="120"/>
              <w:bottom w:type="dxa" w:w="90"/>
              <w:right w:type="dxa" w:w="120"/>
            </w:tcMar>
          </w:tcPr>
          <w:p>
            <w:pPr>
              <w:spacing w:after="20"/>
              <w:jc w:val="left"/>
            </w:pPr>
            <w:r>
              <w:rPr>
                <w:b/>
                <w:bCs/>
                <w:color w:val="FFFFFF"/>
                <w:sz w:val="18"/>
                <w:szCs w:val="18"/>
              </w:rPr>
              <w:t xml:space="preserve">Tarih</w:t>
            </w:r>
          </w:p>
        </w:tc>
        <w:tc>
          <w:tcPr>
            <w:tcW w:type="dxa" w:w="7036"/>
            <w:shd w:fill="0B2545" w:val="clear"/>
            <w:tcMar>
              <w:top w:type="dxa" w:w="90"/>
              <w:left w:type="dxa" w:w="120"/>
              <w:bottom w:type="dxa" w:w="90"/>
              <w:right w:type="dxa" w:w="120"/>
            </w:tcMar>
          </w:tcPr>
          <w:p>
            <w:pPr>
              <w:spacing w:after="20"/>
              <w:jc w:val="left"/>
            </w:pPr>
            <w:r>
              <w:rPr>
                <w:b/>
                <w:bCs/>
                <w:color w:val="FFFFFF"/>
                <w:sz w:val="18"/>
                <w:szCs w:val="18"/>
              </w:rPr>
              <w:t xml:space="preserve">Uygulama</w:t>
            </w:r>
          </w:p>
        </w:tc>
      </w:tr>
      <w:tr>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2 Ağustos 2026</w:t>
            </w:r>
          </w:p>
        </w:tc>
        <w:tc>
          <w:tcPr>
            <w:tcW w:type="dxa" w:w="7036"/>
            <w:shd w:fill="FFFFFF" w:val="clear"/>
            <w:tcMar>
              <w:top w:type="dxa" w:w="90"/>
              <w:left w:type="dxa" w:w="120"/>
              <w:bottom w:type="dxa" w:w="90"/>
              <w:right w:type="dxa" w:w="120"/>
            </w:tcMar>
          </w:tcPr>
          <w:p>
            <w:pPr>
              <w:spacing w:after="20"/>
              <w:jc w:val="left"/>
            </w:pPr>
            <w:r>
              <w:rPr>
                <w:b w:val="false"/>
                <w:bCs w:val="false"/>
                <w:color w:val="1A1A1A"/>
                <w:sz w:val="18"/>
                <w:szCs w:val="18"/>
              </w:rPr>
              <w:t xml:space="preserve">Madde 50 şeffaflık yükümlülükleri uygulanır. m. 50(2), bu tarih itibarıyla halihazırda piyasada bulunan sistemlere uygulanmaz.</w:t>
            </w:r>
          </w:p>
        </w:tc>
      </w:tr>
      <w:tr>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2 Aralık 2026</w:t>
            </w:r>
          </w:p>
        </w:tc>
        <w:tc>
          <w:tcPr>
            <w:tcW w:type="dxa" w:w="7036"/>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50(2) işaretleme yükümlülüğü mevcut sistemlere de uygulanır.</w:t>
            </w:r>
          </w:p>
        </w:tc>
      </w:tr>
    </w:tbl>
    <w:p>
      <w:pPr>
        <w:jc w:val="both"/>
      </w:pPr>
      <w:r>
        <w:t xml:space="preserve">Şirket, 2 Ağustos 2026 itibarıyla piyasada bulunan sistemlerini Uyum Kayıt Defteri’nde “mevcut sistem” olarak işaretler ve bunlar için işaretleme çalışmasını 2 Aralık 2026 tarihine kadar tamamlar. Ara dönemde insan-okunur ifşa uygulanmaya devam eder.</w:t>
      </w:r>
    </w:p>
    <w:p>
      <w:pPr>
        <w:pStyle w:val="Heading1"/>
      </w:pPr>
      <w:r>
        <w:t xml:space="preserve">9. Kayıt, denetim ve sorumluluk</w:t>
      </w:r>
    </w:p>
    <w:p>
      <w:pPr>
        <w:pStyle w:val="ListParagraph"/>
        <w:numPr>
          <w:ilvl w:val="0"/>
          <w:numId w:val="2"/>
        </w:numPr>
        <w:spacing w:after="60"/>
        <w:jc w:val="left"/>
      </w:pPr>
      <w:r>
        <w:t xml:space="preserve">Her sistem için rol, uygulanan fıkra, seçilen teknik çözüm ve gerekçesi Uyum Kayıt Defteri’ne (Belge 06) işlenir.</w:t>
      </w:r>
    </w:p>
    <w:p>
      <w:pPr>
        <w:pStyle w:val="ListParagraph"/>
        <w:numPr>
          <w:ilvl w:val="0"/>
          <w:numId w:val="2"/>
        </w:numPr>
        <w:spacing w:after="60"/>
        <w:jc w:val="left"/>
      </w:pPr>
      <w:r>
        <w:t xml:space="preserve">İstisnaya dayanılan her hâlde gerekçe, karar veren kişi ve tarih kaydedilir.</w:t>
      </w:r>
    </w:p>
    <w:p>
      <w:pPr>
        <w:pStyle w:val="ListParagraph"/>
        <w:numPr>
          <w:ilvl w:val="0"/>
          <w:numId w:val="2"/>
        </w:numPr>
        <w:spacing w:after="60"/>
        <w:jc w:val="left"/>
      </w:pPr>
      <w:r>
        <w:t xml:space="preserve">İfşa metinlerinin yayına alındığına dair ekran görüntüleri arşivlenir.</w:t>
      </w:r>
    </w:p>
    <w:p>
      <w:pPr>
        <w:pStyle w:val="ListParagraph"/>
        <w:numPr>
          <w:ilvl w:val="0"/>
          <w:numId w:val="2"/>
        </w:numPr>
        <w:spacing w:after="60"/>
        <w:jc w:val="left"/>
      </w:pPr>
      <w:r>
        <w:t xml:space="preserve">Politikanın uygulanmasından [SORUMLU BİRİM / UNVAN] sorumludur.</w:t>
      </w:r>
    </w:p>
    <w:p>
      <w:pPr>
        <w:pStyle w:val="ListParagraph"/>
        <w:numPr>
          <w:ilvl w:val="0"/>
          <w:numId w:val="2"/>
        </w:numPr>
        <w:spacing w:after="60"/>
        <w:jc w:val="left"/>
      </w:pPr>
      <w:r>
        <w:t xml:space="preserve">Politika en az yılda bir kez ve her mevzuat değişikliğinde gözden geçirilir.</w:t>
      </w:r>
    </w:p>
    <w:p>
      <w:pPr>
        <w:pStyle w:val="ListParagraph"/>
        <w:numPr>
          <w:ilvl w:val="0"/>
          <w:numId w:val="2"/>
        </w:numPr>
        <w:spacing w:after="60"/>
        <w:jc w:val="left"/>
      </w:pPr>
      <w:r>
        <w:t xml:space="preserve">Aykırılıklar [İÇ BİLDİRİM KANALI] üzerinden bildirilir ve disiplin süreci uygulanır.</w:t>
      </w:r>
    </w:p>
    <w:p>
      <w:pPr>
        <w:pStyle w:val="Heading1"/>
      </w:pPr>
      <w:r>
        <w:t xml:space="preserve">10. Yürürlük</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067"/>
        <w:gridCol w:w="5953"/>
      </w:tblGrid>
      <w:tr>
        <w:trPr>
          <w:tblHeader/>
        </w:trPr>
        <w:tc>
          <w:tcPr>
            <w:tcW w:type="dxa" w:w="3067"/>
            <w:shd w:fill="0B2545" w:val="clear"/>
            <w:tcMar>
              <w:top w:type="dxa" w:w="90"/>
              <w:left w:type="dxa" w:w="120"/>
              <w:bottom w:type="dxa" w:w="90"/>
              <w:right w:type="dxa" w:w="120"/>
            </w:tcMar>
          </w:tcPr>
          <w:p>
            <w:pPr>
              <w:spacing w:after="20"/>
              <w:jc w:val="left"/>
            </w:pPr>
            <w:r>
              <w:rPr>
                <w:b/>
                <w:bCs/>
                <w:color w:val="FFFFFF"/>
                <w:sz w:val="18"/>
                <w:szCs w:val="18"/>
              </w:rPr>
              <w:t xml:space="preserve">Alan</w:t>
            </w:r>
          </w:p>
        </w:tc>
        <w:tc>
          <w:tcPr>
            <w:tcW w:type="dxa" w:w="5953"/>
            <w:shd w:fill="0B2545" w:val="clear"/>
            <w:tcMar>
              <w:top w:type="dxa" w:w="90"/>
              <w:left w:type="dxa" w:w="120"/>
              <w:bottom w:type="dxa" w:w="90"/>
              <w:right w:type="dxa" w:w="120"/>
            </w:tcMar>
          </w:tcPr>
          <w:p>
            <w:pPr>
              <w:spacing w:after="20"/>
              <w:jc w:val="left"/>
            </w:pPr>
            <w:r>
              <w:rPr>
                <w:b/>
                <w:bCs/>
                <w:color w:val="FFFFFF"/>
                <w:sz w:val="18"/>
                <w:szCs w:val="18"/>
              </w:rPr>
              <w:t xml:space="preserve">Bilgi</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Politika sahibi</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[BİRİM / UNVAN]</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Onaylayan</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[AD SOYAD / UNVAN]</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Onay tarihi</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[GG.AA.YYYY]</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Yürürlük tarihi</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[GG.AA.YYYY]</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Sürüm</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1.0</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Sonraki gözden geçirme</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[GG.AA.YYYY]</w:t>
            </w:r>
          </w:p>
        </w:tc>
      </w:tr>
    </w:tbl>
    <w:p>
      <w:pPr>
        <w:pStyle w:val="Heading1"/>
      </w:pPr>
      <w:r>
        <w:t xml:space="preserve">11. Yasal Uyarı</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5A6472" w:sz="24"/>
              <w:bottom w:val="none"/>
              <w:right w:val="none"/>
            </w:tcBorders>
            <w:shd w:fill="F7F7F9" w:val="clear"/>
            <w:tcMar>
              <w:top w:type="dxa" w:w="160"/>
              <w:left w:type="dxa" w:w="200"/>
              <w:bottom w:type="dxa" w:w="160"/>
              <w:right w:type="dxa" w:w="200"/>
            </w:tcMar>
          </w:tcPr>
          <w:p>
            <w:pPr>
              <w:jc w:val="both"/>
            </w:pPr>
            <w:r>
              <w:rPr>
                <w:b/>
                <w:bCs/>
                <w:i w:val="false"/>
                <w:iCs w:val="false"/>
              </w:rPr>
              <w:t xml:space="preserve">Yasal uyarı. </w:t>
            </w:r>
            <w:r>
              <w:rPr>
                <w:b w:val="false"/>
                <w:bCs w:val="false"/>
                <w:i w:val="false"/>
                <w:iCs w:val="false"/>
              </w:rPr>
              <w:t xml:space="preserve">Bu belge, AB Yapay Zeka Tüzüğü (Regulation (EU) 2024/1689) kapsamındaki şeffaflık yükümlülüklerine ilişkin genel nitelikli bir uyum dokümantasyon şablonudur. Belirli bir olay, sistem veya şirket bakımından hukuki mütalaa, avukatlık hizmeti veya vekâlet ilişkisi teşkil etmez. Şablonlar kullanılmadan önce şirketinizin fiili sistem envanterine göre uyarlanmalı ve yetkili bir hukuk müşaviri tarafından gözden geçirilmelidir. Mevzuat, Digital Omnibus değişiklikleri dâhil olmak üzere gelişmeye devam etmektedir; nihai metinler Avrupa Birliği Resmî Gazetesi (Official Journal) üzerinden teyit edilmelidir.</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A6472"/>
        <w:sz w:val="15"/>
        <w:szCs w:val="15"/>
      </w:rPr>
      <w:t xml:space="preserve">AI Uyum ve Yönetişim · Sürüm 1.0 (Temmuz 2026) · Sayfa </w:t>
    </w:r>
    <w:r>
      <w:rPr>
        <w:color w:val="5A6472"/>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color w:val="5A6472"/>
        <w:sz w:val="15"/>
        <w:szCs w:val="15"/>
      </w:rPr>
      <w:t xml:space="preserve">AIA-03 · Sentetik İçerik İşaretleme ve Etiketleme Politikası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abstractNum w:abstractNumId="3" w15:restartNumberingAfterBreak="0">
    <w:multiLevelType w:val="hybridMultilevel"/>
    <w:lvl w:ilvl="0" w15:tentative="1">
      <w:start w:val="1"/>
      <w:numFmt w:val="decimal"/>
      <w:lvlText w:val="%1."/>
      <w:lvlJc w:val="left"/>
      <w:pPr>
        <w:ind w:left="40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0"/>
        <w:szCs w:val="20"/>
      </w:rPr>
    </w:rPrDefault>
    <w:pPrDefault>
      <w:pPr>
        <w:spacing w:after="12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0B2545" w:sz="8" w:space="6"/>
      </w:pBdr>
      <w:spacing w:after="180" w:before="400"/>
    </w:pPr>
    <w:rPr>
      <w:rFonts w:ascii="Arial" w:cs="Arial" w:eastAsia="Arial" w:hAnsi="Arial"/>
      <w:b/>
      <w:bCs/>
      <w:color w:val="0B2545"/>
      <w:sz w:val="30"/>
      <w:szCs w:val="30"/>
    </w:rPr>
  </w:style>
  <w:style w:type="paragraph" w:styleId="Heading2">
    <w:name w:val="Heading 2"/>
    <w:basedOn w:val="Normal"/>
    <w:next w:val="Normal"/>
    <w:qFormat/>
    <w:pPr>
      <w:spacing w:after="120" w:before="300"/>
    </w:pPr>
    <w:rPr>
      <w:rFonts w:ascii="Arial" w:cs="Arial" w:eastAsia="Arial" w:hAnsi="Arial"/>
      <w:b/>
      <w:bCs/>
      <w:color w:val="0B2545"/>
      <w:sz w:val="24"/>
      <w:szCs w:val="24"/>
    </w:rPr>
  </w:style>
  <w:style w:type="paragraph" w:styleId="Heading3">
    <w:name w:val="Heading 3"/>
    <w:basedOn w:val="Normal"/>
    <w:next w:val="Normal"/>
    <w:qFormat/>
    <w:pPr>
      <w:spacing w:after="90" w:before="220"/>
    </w:pPr>
    <w:rPr>
      <w:rFonts w:ascii="Arial" w:cs="Arial" w:eastAsia="Arial" w:hAnsi="Arial"/>
      <w:b/>
      <w:bCs/>
      <w:color w:val="B3122E"/>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2026-07-30T18:02:48.019Z</dcterms:created>
  <dcterms:modified xsi:type="dcterms:W3CDTF">2026-07-30T18:02:48.019Z</dcterms:modified>
</cp:coreProperties>
</file>

<file path=docProps/custom.xml><?xml version="1.0" encoding="utf-8"?>
<Properties xmlns="http://schemas.openxmlformats.org/officeDocument/2006/custom-properties" xmlns:vt="http://schemas.openxmlformats.org/officeDocument/2006/docPropsVTypes"/>
</file>