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0"/>
      </w:pPr>
      <w:r>
        <w:rPr>
          <w:b/>
          <w:bCs/>
          <w:color w:val="0B2545"/>
          <w:sz w:val="26"/>
          <w:szCs w:val="26"/>
        </w:rPr>
        <w:t xml:space="preserve"/>
      </w:r>
      <w:r>
        <w:rPr>
          <w:color w:val="5A6472"/>
          <w:sz w:val="18"/>
          <w:szCs w:val="18"/>
        </w:rPr>
        <w:t xml:space="preserve">YAPAY ZEKA UYUM VE YÖNETİŞİM</w:t>
      </w:r>
    </w:p>
    <w:p>
      <w:pPr>
        <w:pBdr>
          <w:bottom w:val="single" w:color="B3122E" w:sz="16" w:space="4"/>
        </w:pBdr>
        <w:spacing w:after="300"/>
      </w:pPr>
    </w:p>
    <w:p>
      <w:pPr>
        <w:spacing w:after="100"/>
      </w:pPr>
      <w:r>
        <w:rPr>
          <w:b/>
          <w:bCs/>
          <w:color w:val="B3122E"/>
          <w:sz w:val="18"/>
          <w:szCs w:val="18"/>
        </w:rPr>
        <w:t xml:space="preserve">AIA-04</w:t>
      </w:r>
    </w:p>
    <w:p>
      <w:pPr>
        <w:spacing w:after="100"/>
      </w:pPr>
      <w:r>
        <w:rPr>
          <w:b/>
          <w:bCs/>
          <w:color w:val="0B2545"/>
          <w:sz w:val="40"/>
          <w:szCs w:val="40"/>
        </w:rPr>
        <w:t xml:space="preserve">Tedarikçi Sözleşmesi Yapay Zeka Ek Protokolü</w:t>
      </w:r>
    </w:p>
    <w:p>
      <w:pPr>
        <w:spacing w:after="400"/>
      </w:pPr>
      <w:r>
        <w:rPr>
          <w:color w:val="5A6472"/>
          <w:sz w:val="22"/>
          <w:szCs w:val="22"/>
        </w:rPr>
        <w:t xml:space="preserve">Rol tahsisi, şeffaflık taahhütleri, denetim ve tazmin</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0"/>
      </w:tblGrid>
      <w:tr>
        <w:tc>
          <w:tcPr>
            <w:tcW w:type="dxa" w:w="9020"/>
            <w:tcBorders>
              <w:top w:val="none"/>
              <w:left w:val="single" w:color="B3122E" w:sz="24"/>
              <w:bottom w:val="none"/>
              <w:right w:val="none"/>
            </w:tcBorders>
            <w:shd w:fill="EEF1F5" w:val="clear"/>
            <w:tcMar>
              <w:top w:type="dxa" w:w="160"/>
              <w:left w:type="dxa" w:w="200"/>
              <w:bottom w:type="dxa" w:w="160"/>
              <w:right w:type="dxa" w:w="200"/>
            </w:tcMar>
          </w:tcPr>
          <w:p>
            <w:pPr>
              <w:jc w:val="both"/>
            </w:pPr>
            <w:r>
              <w:rPr>
                <w:b/>
                <w:bCs/>
                <w:i w:val="false"/>
                <w:iCs w:val="false"/>
              </w:rPr>
              <w:t xml:space="preserve">Kullanım notu. </w:t>
            </w:r>
            <w:r>
              <w:rPr>
                <w:b w:val="false"/>
                <w:bCs w:val="false"/>
                <w:i w:val="false"/>
                <w:iCs w:val="false"/>
              </w:rPr>
              <w:t xml:space="preserve">Bu metin, mevcut bir hizmet, lisans veya çerçeve sözleşmesine ek protokol olarak eklenmek üzere hazırlanmıştır. Bağımsız bir sözleşme değildir. Köşeli parantezleri doldurun; uygulanmayan maddeleri silmeden önce silinen yükümlülüğün başka bir maddeye dayanıp dayanmadığını kontrol edin. Madde 4 (rol tahsisi) her hâlde doldurulmalıdır.</w:t>
            </w:r>
          </w:p>
        </w:tc>
      </w:tr>
    </w:tbl>
    <w:p>
      <w:pPr>
        <w:pStyle w:val="Heading1"/>
      </w:pPr>
      <w:r>
        <w:t xml:space="preserve">YAPAY ZEKA UYUM EK PROTOKOLÜ</w:t>
      </w:r>
    </w:p>
    <w:p>
      <w:pPr>
        <w:jc w:val="both"/>
      </w:pPr>
      <w:r>
        <w:t xml:space="preserve">İşbu Yapay Zeka Uyum Ek Protokolü (“Ek Protokol”), [ALICI ŞİRKET UNVANI] (“Alıcı”) ile [TEDARİKÇİ UNVANI] (“Tedarikçi”) arasında [GG.AA.YYYY] tarihinde akdedilen [ANA SÖZLEŞME ADI] (“Ana Sözleşme”) ekidir ve Ana Sözleşmenin ayrılmaz bir parçasını teşkil eder.</w:t>
      </w:r>
    </w:p>
    <w:p>
      <w:pPr>
        <w:pStyle w:val="Heading2"/>
      </w:pPr>
      <w:r>
        <w:t xml:space="preserve">Madde 1 — Amaç</w:t>
      </w:r>
    </w:p>
    <w:p>
      <w:pPr>
        <w:jc w:val="both"/>
      </w:pPr>
      <w:r>
        <w:t xml:space="preserve">Bu Ek Protokolün amacı, Tedarikçi tarafından Alıcıya sağlanan yapay zeka sistemleri ve bu sistemlerle üretilen çıktılar bakımından, Regulation (EU) 2024/1689 (“AI Act”) kapsamındaki yükümlülüklerin taraflar arasında paylaşımını, Tedarikçinin taahhütlerini ve Alıcının denetim haklarını düzenlemektir.</w:t>
      </w:r>
    </w:p>
    <w:p>
      <w:pPr>
        <w:pStyle w:val="Heading2"/>
      </w:pPr>
      <w:r>
        <w:t xml:space="preserve">Madde 2 — Tanımlar</w:t>
      </w:r>
    </w:p>
    <w:p>
      <w:pPr>
        <w:jc w:val="both"/>
      </w:pPr>
      <w:r>
        <w:t xml:space="preserve">Bu Ek Protokolde geçen “yapay zeka sistemi”, “sağlayıcı”, “uygulayıcı”, “piyasaya sunma”, “hizmete alma” ve “esaslı değişiklik” terimleri AI Act’teki anlamlarını taşır. “Sistem”, Ek-1’de listelenen ve Tedarikçi tarafından sağlanan yapay zeka sistemlerini ifade eder.</w:t>
      </w:r>
    </w:p>
    <w:p>
      <w:pPr>
        <w:pStyle w:val="Heading2"/>
      </w:pPr>
      <w:r>
        <w:t xml:space="preserve">Madde 3 — Kapsam beyanı</w:t>
      </w:r>
    </w:p>
    <w:p>
      <w:pPr>
        <w:jc w:val="both"/>
      </w:pPr>
      <w:r>
        <w:t xml:space="preserve">Tedarikçi, Sistemin AI Act’in uygulama alanına girip girmediğini ve giriyorsa hangi hükümlere tabi olduğunu Ek-1’de beyan eder. Tedarikçi, Sistemin çıktısının Birlik içinde kullanılması hâlinde, kendisinin Birlik dışında yerleşik olmasının AI Act’in uygulanmasını engellemeyeceğini kabul eder.</w:t>
      </w:r>
    </w:p>
    <w:p>
      <w:pPr>
        <w:pStyle w:val="Heading2"/>
      </w:pPr>
      <w:r>
        <w:t xml:space="preserve">Madde 4 — Rol tahsisi</w:t>
      </w:r>
    </w:p>
    <w:p>
      <w:pPr>
        <w:jc w:val="both"/>
      </w:pPr>
      <w:r>
        <w:t xml:space="preserve">Taraflar, Ek-1’de yer alan her Sistem bakımından sağlayıcı ve uygulayıcı rollerini açıkça tahsis eder. Rol tahsisi tarafları AI Act karşısında bağlar niteliğinde olmayıp, taraflar arasındaki iç sorumluluk paylaşımını ve tazmin ilişkisini düzenler.</w:t>
      </w:r>
    </w:p>
    <w:p>
      <w:pPr>
        <w:jc w:val="both"/>
      </w:pPr>
      <w:r>
        <w:t xml:space="preserve">Tedarikçi, Alıcının Sistemi kendi adı veya markası altında sunması, Sistemde esaslı değişiklik yapması ya da kullanım amacını değiştirmesi hâlinde Alıcının AI Act m. 25 uyarınca sağlayıcı sayılabileceği hususunda Alıcıyı bilgilendirmiştir. Alıcı, bu hâllerde Tedarikçiden alacağı teknik dokümantasyon ve destek kapsamını Madde 7 uyarınca talep etme hakkını saklı tutar.</w:t>
      </w:r>
    </w:p>
    <w:p>
      <w:pPr>
        <w:pStyle w:val="Heading2"/>
      </w:pPr>
      <w:r>
        <w:t xml:space="preserve">Madde 5 — Tedarikçinin şeffaflık taahhütleri</w:t>
      </w:r>
    </w:p>
    <w:p>
      <w:pPr>
        <w:pStyle w:val="ListParagraph"/>
        <w:numPr>
          <w:ilvl w:val="0"/>
          <w:numId w:val="2"/>
        </w:numPr>
        <w:spacing w:after="60"/>
        <w:jc w:val="left"/>
      </w:pPr>
      <w:r>
        <w:t xml:space="preserve">Tedarikçi, Sistemin gerçek kişilerle doğrudan etkileşime girmesi hâlinde, kişilerin bir yapay zeka sistemiyle etkileştiğini öğrenmesini sağlayacak teknik kabiliyeti (yapılandırılabilir ifşa metni, kalıcı etiket alanı ve çok dilli destek dâhil) sunar (AI Act m. 50(1)).</w:t>
      </w:r>
    </w:p>
    <w:p>
      <w:pPr>
        <w:pStyle w:val="ListParagraph"/>
        <w:numPr>
          <w:ilvl w:val="0"/>
          <w:numId w:val="2"/>
        </w:numPr>
        <w:spacing w:after="60"/>
        <w:jc w:val="left"/>
      </w:pPr>
      <w:r>
        <w:t xml:space="preserve">Tedarikçi, Sistemin sentetik ses, görüntü, video veya metin üretmesi hâlinde, çıktıların makine tarafından okunabilir formatta işaretlenmesini ve yapay olarak üretildiğinin tespit edilebilmesini sağlar; kullanılan teknik yöntemi, standardı ve bilinen sınırlarını Ek-2’de yazılı olarak açıklar (AI Act m. 50(2)).</w:t>
      </w:r>
    </w:p>
    <w:p>
      <w:pPr>
        <w:pStyle w:val="ListParagraph"/>
        <w:numPr>
          <w:ilvl w:val="0"/>
          <w:numId w:val="2"/>
        </w:numPr>
        <w:spacing w:after="60"/>
        <w:jc w:val="left"/>
      </w:pPr>
      <w:r>
        <w:t xml:space="preserve">Tedarikçi, işaretleme çözümünün etkinliği, birlikte çalışabilirliği ve sağlamlığı bakımından bilinen kısıtları, hangi içerik türlerinde işaretlemenin uygulanmadığını ve bunun gerekçesini Alıcıya bildirir.</w:t>
      </w:r>
    </w:p>
    <w:p>
      <w:pPr>
        <w:pStyle w:val="ListParagraph"/>
        <w:numPr>
          <w:ilvl w:val="0"/>
          <w:numId w:val="2"/>
        </w:numPr>
        <w:spacing w:after="60"/>
        <w:jc w:val="left"/>
      </w:pPr>
      <w:r>
        <w:t xml:space="preserve">Tedarikçi, Sistemin çıktısının üçüncü taraf araçlarla işlenmesi hâlinde işaretlemenin korunup korunmayacağını Ek-2’de belirtir.</w:t>
      </w:r>
    </w:p>
    <w:p>
      <w:pPr>
        <w:pStyle w:val="Heading2"/>
      </w:pPr>
      <w:r>
        <w:t xml:space="preserve">Madde 6 — Değişiklik bildirimi</w:t>
      </w:r>
    </w:p>
    <w:p>
      <w:pPr>
        <w:jc w:val="both"/>
      </w:pPr>
      <w:r>
        <w:t xml:space="preserve">Tedarikçi, aşağıdaki hâllerde en az [30] gün önceden Alıcıya yazılı bildirimde bulunur:</w:t>
      </w:r>
    </w:p>
    <w:p>
      <w:pPr>
        <w:pStyle w:val="ListParagraph"/>
        <w:numPr>
          <w:ilvl w:val="0"/>
          <w:numId w:val="3"/>
        </w:numPr>
        <w:spacing w:after="60"/>
        <w:jc w:val="left"/>
      </w:pPr>
      <w:r>
        <w:t xml:space="preserve">Sistemin kullanım amacında değişiklik yapılması.</w:t>
      </w:r>
    </w:p>
    <w:p>
      <w:pPr>
        <w:pStyle w:val="ListParagraph"/>
        <w:numPr>
          <w:ilvl w:val="0"/>
          <w:numId w:val="3"/>
        </w:numPr>
        <w:spacing w:after="60"/>
        <w:jc w:val="left"/>
      </w:pPr>
      <w:r>
        <w:t xml:space="preserve">Sistemde AI Act anlamında esaslı değişiklik teşkil edebilecek bir güncelleme yapılması.</w:t>
      </w:r>
    </w:p>
    <w:p>
      <w:pPr>
        <w:pStyle w:val="ListParagraph"/>
        <w:numPr>
          <w:ilvl w:val="0"/>
          <w:numId w:val="3"/>
        </w:numPr>
        <w:spacing w:after="60"/>
        <w:jc w:val="left"/>
      </w:pPr>
      <w:r>
        <w:t xml:space="preserve">Sistemin dayandığı temel modelin veya alt tedarikçinin değiştirilmesi.</w:t>
      </w:r>
    </w:p>
    <w:p>
      <w:pPr>
        <w:pStyle w:val="ListParagraph"/>
        <w:numPr>
          <w:ilvl w:val="0"/>
          <w:numId w:val="3"/>
        </w:numPr>
        <w:spacing w:after="60"/>
        <w:jc w:val="left"/>
      </w:pPr>
      <w:r>
        <w:t xml:space="preserve">İşaretleme veya ifşa kabiliyetinin kaldırılması, kısıtlanması ya da yönteminin değiştirilmesi.</w:t>
      </w:r>
    </w:p>
    <w:p>
      <w:pPr>
        <w:pStyle w:val="ListParagraph"/>
        <w:numPr>
          <w:ilvl w:val="0"/>
          <w:numId w:val="3"/>
        </w:numPr>
        <w:spacing w:after="60"/>
        <w:jc w:val="left"/>
      </w:pPr>
      <w:r>
        <w:t xml:space="preserve">Sistemin AI Act kapsamındaki sınıflandırmasında değişiklik olması.</w:t>
      </w:r>
    </w:p>
    <w:p>
      <w:pPr>
        <w:jc w:val="both"/>
      </w:pPr>
      <w:r>
        <w:t xml:space="preserve">Bildirim yükümlülüğüne aykırılık hâlinde Alıcı, Madde 11 uyarınca fesih hakkını kullanabilir.</w:t>
      </w:r>
    </w:p>
    <w:p>
      <w:pPr>
        <w:pStyle w:val="Heading2"/>
      </w:pPr>
      <w:r>
        <w:t xml:space="preserve">Madde 7 — Dokümantasyon ve destek</w:t>
      </w:r>
    </w:p>
    <w:p>
      <w:pPr>
        <w:jc w:val="both"/>
      </w:pPr>
      <w:r>
        <w:t xml:space="preserve">Tedarikçi, Alıcının kendi uyum yükümlülüklerini yerine getirebilmesi için aşağıdaki belgeleri Ek Protokolün imzasından itibaren [15] gün içinde ve her güncellemede [10] gün içinde sağlar:</w:t>
      </w:r>
    </w:p>
    <w:p>
      <w:pPr>
        <w:pStyle w:val="ListParagraph"/>
        <w:numPr>
          <w:ilvl w:val="0"/>
          <w:numId w:val="3"/>
        </w:numPr>
        <w:spacing w:after="60"/>
        <w:jc w:val="left"/>
      </w:pPr>
      <w:r>
        <w:t xml:space="preserve">Sistemin kullanım amacı ve öngörülen kullanım koşullarını gösteren teknik açıklama.</w:t>
      </w:r>
    </w:p>
    <w:p>
      <w:pPr>
        <w:pStyle w:val="ListParagraph"/>
        <w:numPr>
          <w:ilvl w:val="0"/>
          <w:numId w:val="3"/>
        </w:numPr>
        <w:spacing w:after="60"/>
        <w:jc w:val="left"/>
      </w:pPr>
      <w:r>
        <w:t xml:space="preserve">Uygulanan şeffaflık ve işaretleme yöntemlerinin teknik tarifi.</w:t>
      </w:r>
    </w:p>
    <w:p>
      <w:pPr>
        <w:pStyle w:val="ListParagraph"/>
        <w:numPr>
          <w:ilvl w:val="0"/>
          <w:numId w:val="3"/>
        </w:numPr>
        <w:spacing w:after="60"/>
        <w:jc w:val="left"/>
      </w:pPr>
      <w:r>
        <w:t xml:space="preserve">Sistemin bilinen sınırlamaları ve öngörülebilir yanlış kullanım senaryoları.</w:t>
      </w:r>
    </w:p>
    <w:p>
      <w:pPr>
        <w:pStyle w:val="ListParagraph"/>
        <w:numPr>
          <w:ilvl w:val="0"/>
          <w:numId w:val="3"/>
        </w:numPr>
        <w:spacing w:after="60"/>
        <w:jc w:val="left"/>
      </w:pPr>
      <w:r>
        <w:t xml:space="preserve">Varsa uygunluk beyanı, sertifikasyon veya üçüncü taraf denetim raporları.</w:t>
      </w:r>
    </w:p>
    <w:p>
      <w:pPr>
        <w:pStyle w:val="ListParagraph"/>
        <w:numPr>
          <w:ilvl w:val="0"/>
          <w:numId w:val="3"/>
        </w:numPr>
        <w:spacing w:after="60"/>
        <w:jc w:val="left"/>
      </w:pPr>
      <w:r>
        <w:t xml:space="preserve">Alt tedarikçi ve temel model listesi.</w:t>
      </w:r>
    </w:p>
    <w:p>
      <w:pPr>
        <w:pStyle w:val="Heading2"/>
      </w:pPr>
      <w:r>
        <w:t xml:space="preserve">Madde 8 — Beyan ve taahhütler</w:t>
      </w:r>
    </w:p>
    <w:p>
      <w:pPr>
        <w:jc w:val="both"/>
      </w:pPr>
      <w:r>
        <w:t xml:space="preserve">Tedarikçi, Ek Protokolün imzası ve Ana Sözleşmenin yürürlüğü boyunca aşağıdakileri beyan ve taahhüt eder:</w:t>
      </w:r>
    </w:p>
    <w:p>
      <w:pPr>
        <w:pStyle w:val="ListParagraph"/>
        <w:numPr>
          <w:ilvl w:val="0"/>
          <w:numId w:val="3"/>
        </w:numPr>
        <w:spacing w:after="60"/>
        <w:jc w:val="left"/>
      </w:pPr>
      <w:r>
        <w:t xml:space="preserve">Sistem, AI Act m. 5 kapsamındaki yasaklı uygulamalardan hiçbirini gerçekleştirmemektedir.</w:t>
      </w:r>
    </w:p>
    <w:p>
      <w:pPr>
        <w:pStyle w:val="ListParagraph"/>
        <w:numPr>
          <w:ilvl w:val="0"/>
          <w:numId w:val="3"/>
        </w:numPr>
        <w:spacing w:after="60"/>
        <w:jc w:val="left"/>
      </w:pPr>
      <w:r>
        <w:t xml:space="preserve">Sistem hakkında Tedarikçiye ulaşan yetkili otorite bildirimleri, uyum incelemeleri veya kısıtlama kararları gecikmeksizin Alıcıya bildirilecektir.</w:t>
      </w:r>
    </w:p>
    <w:p>
      <w:pPr>
        <w:pStyle w:val="ListParagraph"/>
        <w:numPr>
          <w:ilvl w:val="0"/>
          <w:numId w:val="3"/>
        </w:numPr>
        <w:spacing w:after="60"/>
        <w:jc w:val="left"/>
      </w:pPr>
      <w:r>
        <w:t xml:space="preserve">Ek-1 ve Ek-2’de verilen bilgiler doğru, güncel ve eksiksizdir.</w:t>
      </w:r>
    </w:p>
    <w:p>
      <w:pPr>
        <w:pStyle w:val="Heading2"/>
      </w:pPr>
      <w:r>
        <w:t xml:space="preserve">Madde 9 — Denetim</w:t>
      </w:r>
    </w:p>
    <w:p>
      <w:pPr>
        <w:jc w:val="both"/>
      </w:pPr>
      <w:r>
        <w:t xml:space="preserve">Alıcı, yılda [1] defadan fazla olmamak ve en az [15] gün önceden yazılı bildirimde bulunmak kaydıyla, Tedarikçinin bu Ek Protokoldeki yükümlülüklere uygunluğunu denetleme veya bağımsız bir denetçi aracılığıyla denetletme hakkına sahiptir. Denetim, Tedarikçinin ticari sırlarını ve diğer müşterilerine ait bilgileri kapsamaz. Denetimde uyumsuzluk tespit edilirse Tedarikçi, düzeltici eylem planını [15] gün içinde sunar.</w:t>
      </w:r>
    </w:p>
    <w:p>
      <w:pPr>
        <w:pStyle w:val="Heading2"/>
      </w:pPr>
      <w:r>
        <w:t xml:space="preserve">Madde 10 — Sorumluluk ve tazmin</w:t>
      </w:r>
    </w:p>
    <w:p>
      <w:pPr>
        <w:jc w:val="both"/>
      </w:pPr>
      <w:r>
        <w:t xml:space="preserve">Tedarikçi, bu Ek Protokoldeki yükümlülüklerini ihlal etmesi nedeniyle Alıcı aleyhine yetkili otoritelerce uygulanan idari para cezaları, üçüncü kişi talepleri ve makul savunma giderlerinden doğan zararları Alıcıya tazmin eder.</w:t>
      </w:r>
    </w:p>
    <w:p>
      <w:pPr>
        <w:jc w:val="both"/>
      </w:pPr>
      <w:r>
        <w:t xml:space="preserve">Bu maddeden doğan sorumluluk, [Ana Sözleşmedeki genel sorumluluk sınırına tabidir / Ana Sözleşmedeki sorumluluk sınırından bağımsız olarak [TUTAR] ile sınırlıdır]. Taraflar, AI Act m. 99 kapsamındaki idari para cezalarının ciroya bağlı hesaplanması nedeniyle genel sorumluluk sınırının yetersiz kalabileceğini değerlendirmiş ve bu maddedeki sınırı buna göre belirlemiştir.</w:t>
      </w:r>
    </w:p>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0"/>
      </w:tblGrid>
      <w:tr>
        <w:tc>
          <w:tcPr>
            <w:tcW w:type="dxa" w:w="9020"/>
            <w:tcBorders>
              <w:top w:val="none"/>
              <w:left w:val="single" w:color="5A6472" w:sz="24"/>
              <w:bottom w:val="none"/>
              <w:right w:val="none"/>
            </w:tcBorders>
            <w:shd w:fill="F7F7F9" w:val="clear"/>
            <w:tcMar>
              <w:top w:type="dxa" w:w="160"/>
              <w:left w:type="dxa" w:w="200"/>
              <w:bottom w:type="dxa" w:w="160"/>
              <w:right w:type="dxa" w:w="200"/>
            </w:tcMar>
          </w:tcPr>
          <w:p>
            <w:pPr>
              <w:jc w:val="both"/>
            </w:pPr>
            <w:r>
              <w:rPr>
                <w:b/>
                <w:bCs/>
                <w:i w:val="false"/>
                <w:iCs w:val="false"/>
              </w:rPr>
              <w:t xml:space="preserve">Müzakere notu. </w:t>
            </w:r>
            <w:r>
              <w:rPr>
                <w:b w:val="false"/>
                <w:bCs w:val="false"/>
                <w:i w:val="false"/>
                <w:iCs w:val="false"/>
              </w:rPr>
              <w:t xml:space="preserve">Bu madde sözleşmenin en çok itiraz gören hükmüdür. Tedarikçiler genellikle AI Act cezalarını genel sorumluluk sınırının içine sokmak ister. Alıcı tarafındaysanız, idari para cezalarını sınırın dışında tutmayı ya da ayrı ve daha yüksek bir alt sınır belirlemeyi hedefleyin.</w:t>
            </w:r>
          </w:p>
        </w:tc>
      </w:tr>
    </w:tbl>
    <w:p>
      <w:pPr>
        <w:pStyle w:val="Heading2"/>
      </w:pPr>
      <w:r>
        <w:t xml:space="preserve">Madde 11 — Süre ve fesih</w:t>
      </w:r>
    </w:p>
    <w:p>
      <w:pPr>
        <w:jc w:val="both"/>
      </w:pPr>
      <w:r>
        <w:t xml:space="preserve">Bu Ek Protokol, Ana Sözleşme ile birlikte yürürlüğe girer ve Ana Sözleşmenin sona ermesiyle birlikte sona erer. Tedarikçinin Madde 5, 6 veya 8’deki yükümlülüklerini ihlal etmesi ve [15] günlük yazılı ihtara rağmen aykırılığı gidermemesi hâlinde Alıcı, Ana Sözleşmeyi tazminat yükümlülüğü doğmaksızın haklı nedenle feshedebilir.</w:t>
      </w:r>
    </w:p>
    <w:p>
      <w:pPr>
        <w:pStyle w:val="Heading2"/>
      </w:pPr>
      <w:r>
        <w:t xml:space="preserve">Madde 12 — Kişisel verilerin korunması</w:t>
      </w:r>
    </w:p>
    <w:p>
      <w:pPr>
        <w:jc w:val="both"/>
      </w:pPr>
      <w:r>
        <w:t xml:space="preserve">Bu Ek Protokol, taraflar arasındaki veri işleme sözleşmesini ve 6698 sayılı Kanun ile GDPR kapsamındaki yükümlülükleri etkilemez; bunlarla birlikte uygulanır. Çelişki hâlinde veri koruma hükümleri öncelikle uygulanır.</w:t>
      </w:r>
    </w:p>
    <w:p>
      <w:pPr>
        <w:pStyle w:val="Heading2"/>
      </w:pPr>
      <w:r>
        <w:t xml:space="preserve">Madde 13 — Uygulanacak hukuk ve uyuşmazlık çözümü</w:t>
      </w:r>
    </w:p>
    <w:p>
      <w:pPr>
        <w:jc w:val="both"/>
      </w:pPr>
      <w:r>
        <w:t xml:space="preserve">Bu Ek Protokole Ana Sözleşmedeki uygulanacak hukuk ve uyuşmazlık çözümü hükümleri uygulanır.</w:t>
      </w:r>
    </w:p>
    <w:p>
      <w:pPr>
        <w:pStyle w:val="Heading1"/>
      </w:pPr>
      <w:r>
        <w:t xml:space="preserve">EK-1 — Sistem Envanteri ve Rol Tahsisi</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984"/>
        <w:gridCol w:w="2345"/>
        <w:gridCol w:w="1624"/>
        <w:gridCol w:w="1533"/>
        <w:gridCol w:w="1534"/>
      </w:tblGrid>
      <w:tr>
        <w:trPr>
          <w:tblHeader/>
        </w:trPr>
        <w:tc>
          <w:tcPr>
            <w:tcW w:type="dxa" w:w="1984"/>
            <w:shd w:fill="0B2545" w:val="clear"/>
            <w:tcMar>
              <w:top w:type="dxa" w:w="90"/>
              <w:left w:type="dxa" w:w="120"/>
              <w:bottom w:type="dxa" w:w="90"/>
              <w:right w:type="dxa" w:w="120"/>
            </w:tcMar>
          </w:tcPr>
          <w:p>
            <w:pPr>
              <w:spacing w:after="20"/>
              <w:jc w:val="left"/>
            </w:pPr>
            <w:r>
              <w:rPr>
                <w:b/>
                <w:bCs/>
                <w:color w:val="FFFFFF"/>
                <w:sz w:val="18"/>
                <w:szCs w:val="18"/>
              </w:rPr>
              <w:t xml:space="preserve">Sistem adı</w:t>
            </w:r>
          </w:p>
        </w:tc>
        <w:tc>
          <w:tcPr>
            <w:tcW w:type="dxa" w:w="2345"/>
            <w:shd w:fill="0B2545" w:val="clear"/>
            <w:tcMar>
              <w:top w:type="dxa" w:w="90"/>
              <w:left w:type="dxa" w:w="120"/>
              <w:bottom w:type="dxa" w:w="90"/>
              <w:right w:type="dxa" w:w="120"/>
            </w:tcMar>
          </w:tcPr>
          <w:p>
            <w:pPr>
              <w:spacing w:after="20"/>
              <w:jc w:val="left"/>
            </w:pPr>
            <w:r>
              <w:rPr>
                <w:b/>
                <w:bCs/>
                <w:color w:val="FFFFFF"/>
                <w:sz w:val="18"/>
                <w:szCs w:val="18"/>
              </w:rPr>
              <w:t xml:space="preserve">Kullanım amacı</w:t>
            </w:r>
          </w:p>
        </w:tc>
        <w:tc>
          <w:tcPr>
            <w:tcW w:type="dxa" w:w="1624"/>
            <w:shd w:fill="0B2545" w:val="clear"/>
            <w:tcMar>
              <w:top w:type="dxa" w:w="90"/>
              <w:left w:type="dxa" w:w="120"/>
              <w:bottom w:type="dxa" w:w="90"/>
              <w:right w:type="dxa" w:w="120"/>
            </w:tcMar>
          </w:tcPr>
          <w:p>
            <w:pPr>
              <w:spacing w:after="20"/>
              <w:jc w:val="left"/>
            </w:pPr>
            <w:r>
              <w:rPr>
                <w:b/>
                <w:bCs/>
                <w:color w:val="FFFFFF"/>
                <w:sz w:val="18"/>
                <w:szCs w:val="18"/>
              </w:rPr>
              <w:t xml:space="preserve">AI Act kapsamı</w:t>
            </w:r>
          </w:p>
        </w:tc>
        <w:tc>
          <w:tcPr>
            <w:tcW w:type="dxa" w:w="1533"/>
            <w:shd w:fill="0B2545" w:val="clear"/>
            <w:tcMar>
              <w:top w:type="dxa" w:w="90"/>
              <w:left w:type="dxa" w:w="120"/>
              <w:bottom w:type="dxa" w:w="90"/>
              <w:right w:type="dxa" w:w="120"/>
            </w:tcMar>
          </w:tcPr>
          <w:p>
            <w:pPr>
              <w:spacing w:after="20"/>
              <w:jc w:val="left"/>
            </w:pPr>
            <w:r>
              <w:rPr>
                <w:b/>
                <w:bCs/>
                <w:color w:val="FFFFFF"/>
                <w:sz w:val="18"/>
                <w:szCs w:val="18"/>
              </w:rPr>
              <w:t xml:space="preserve">Sağlayıcı</w:t>
            </w:r>
          </w:p>
        </w:tc>
        <w:tc>
          <w:tcPr>
            <w:tcW w:type="dxa" w:w="1534"/>
            <w:shd w:fill="0B2545" w:val="clear"/>
            <w:tcMar>
              <w:top w:type="dxa" w:w="90"/>
              <w:left w:type="dxa" w:w="120"/>
              <w:bottom w:type="dxa" w:w="90"/>
              <w:right w:type="dxa" w:w="120"/>
            </w:tcMar>
          </w:tcPr>
          <w:p>
            <w:pPr>
              <w:spacing w:after="20"/>
              <w:jc w:val="left"/>
            </w:pPr>
            <w:r>
              <w:rPr>
                <w:b/>
                <w:bCs/>
                <w:color w:val="FFFFFF"/>
                <w:sz w:val="18"/>
                <w:szCs w:val="18"/>
              </w:rPr>
              <w:t xml:space="preserve">Uygulayıcı</w:t>
            </w:r>
          </w:p>
        </w:tc>
      </w:tr>
      <w:tr>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[örn. ACME Destek Botu]</w:t>
            </w:r>
          </w:p>
        </w:tc>
        <w:tc>
          <w:tcPr>
            <w:tcW w:type="dxa" w:w="2345"/>
            <w:shd w:fill="FFFFFF" w:val="clear"/>
            <w:tcMar>
              <w:top w:type="dxa" w:w="90"/>
              <w:left w:type="dxa" w:w="120"/>
              <w:bottom w:type="dxa" w:w="90"/>
              <w:right w:type="dxa" w:w="120"/>
            </w:tcMar>
          </w:tcPr>
          <w:p>
            <w:pPr>
              <w:spacing w:after="20"/>
              <w:jc w:val="left"/>
            </w:pPr>
            <w:r>
              <w:rPr>
                <w:b w:val="false"/>
                <w:bCs w:val="false"/>
                <w:color w:val="1A1A1A"/>
                <w:sz w:val="18"/>
                <w:szCs w:val="18"/>
              </w:rPr>
              <w:t xml:space="preserve">[müşteri destek sohbeti]</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50(1)]</w:t>
            </w:r>
          </w:p>
        </w:tc>
        <w:tc>
          <w:tcPr>
            <w:tcW w:type="dxa" w:w="1533"/>
            <w:shd w:fill="FFFFFF" w:val="clear"/>
            <w:tcMar>
              <w:top w:type="dxa" w:w="90"/>
              <w:left w:type="dxa" w:w="120"/>
              <w:bottom w:type="dxa" w:w="90"/>
              <w:right w:type="dxa" w:w="120"/>
            </w:tcMar>
          </w:tcPr>
          <w:p>
            <w:pPr>
              <w:spacing w:after="20"/>
              <w:jc w:val="left"/>
            </w:pPr>
            <w:r>
              <w:rPr>
                <w:b w:val="false"/>
                <w:bCs w:val="false"/>
                <w:color w:val="1A1A1A"/>
                <w:sz w:val="18"/>
                <w:szCs w:val="18"/>
              </w:rPr>
              <w:t xml:space="preserve">[Tedarikçi]</w:t>
            </w:r>
          </w:p>
        </w:tc>
        <w:tc>
          <w:tcPr>
            <w:tcW w:type="dxa" w:w="1534"/>
            <w:shd w:fill="FFFFFF" w:val="clear"/>
            <w:tcMar>
              <w:top w:type="dxa" w:w="90"/>
              <w:left w:type="dxa" w:w="120"/>
              <w:bottom w:type="dxa" w:w="90"/>
              <w:right w:type="dxa" w:w="120"/>
            </w:tcMar>
          </w:tcPr>
          <w:p>
            <w:pPr>
              <w:spacing w:after="20"/>
              <w:jc w:val="left"/>
            </w:pPr>
            <w:r>
              <w:rPr>
                <w:b w:val="false"/>
                <w:bCs w:val="false"/>
                <w:color w:val="1A1A1A"/>
                <w:sz w:val="18"/>
                <w:szCs w:val="18"/>
              </w:rPr>
              <w:t xml:space="preserve">[Alıcı]</w:t>
            </w:r>
          </w:p>
        </w:tc>
      </w:tr>
      <w:tr>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2345"/>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53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53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r>
      <w:tr>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2345"/>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53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53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r>
    </w:tbl>
    <w:p>
      <w:pPr>
        <w:pStyle w:val="Heading1"/>
      </w:pPr>
      <w:r>
        <w:t xml:space="preserve">EK-2 — Şeffaflık ve İşaretleme Teknik Beyanı</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788"/>
        <w:gridCol w:w="5232"/>
      </w:tblGrid>
      <w:tr>
        <w:trPr>
          <w:tblHeader/>
        </w:trPr>
        <w:tc>
          <w:tcPr>
            <w:tcW w:type="dxa" w:w="3788"/>
            <w:shd w:fill="0B2545" w:val="clear"/>
            <w:tcMar>
              <w:top w:type="dxa" w:w="90"/>
              <w:left w:type="dxa" w:w="120"/>
              <w:bottom w:type="dxa" w:w="90"/>
              <w:right w:type="dxa" w:w="120"/>
            </w:tcMar>
          </w:tcPr>
          <w:p>
            <w:pPr>
              <w:spacing w:after="20"/>
              <w:jc w:val="left"/>
            </w:pPr>
            <w:r>
              <w:rPr>
                <w:b/>
                <w:bCs/>
                <w:color w:val="FFFFFF"/>
                <w:sz w:val="18"/>
                <w:szCs w:val="18"/>
              </w:rPr>
              <w:t xml:space="preserve">Konu</w:t>
            </w:r>
          </w:p>
        </w:tc>
        <w:tc>
          <w:tcPr>
            <w:tcW w:type="dxa" w:w="5232"/>
            <w:shd w:fill="0B2545" w:val="clear"/>
            <w:tcMar>
              <w:top w:type="dxa" w:w="90"/>
              <w:left w:type="dxa" w:w="120"/>
              <w:bottom w:type="dxa" w:w="90"/>
              <w:right w:type="dxa" w:w="120"/>
            </w:tcMar>
          </w:tcPr>
          <w:p>
            <w:pPr>
              <w:spacing w:after="20"/>
              <w:jc w:val="left"/>
            </w:pPr>
            <w:r>
              <w:rPr>
                <w:b/>
                <w:bCs/>
                <w:color w:val="FFFFFF"/>
                <w:sz w:val="18"/>
                <w:szCs w:val="18"/>
              </w:rPr>
              <w:t xml:space="preserve">Tedarikçi beyanı</w:t>
            </w:r>
          </w:p>
        </w:tc>
      </w:tr>
      <w:tr>
        <w:tc>
          <w:tcPr>
            <w:tcW w:type="dxa" w:w="3788"/>
            <w:shd w:fill="FFFFFF" w:val="clear"/>
            <w:tcMar>
              <w:top w:type="dxa" w:w="90"/>
              <w:left w:type="dxa" w:w="120"/>
              <w:bottom w:type="dxa" w:w="90"/>
              <w:right w:type="dxa" w:w="120"/>
            </w:tcMar>
          </w:tcPr>
          <w:p>
            <w:pPr>
              <w:spacing w:after="20"/>
              <w:jc w:val="left"/>
            </w:pPr>
            <w:r>
              <w:rPr>
                <w:b w:val="false"/>
                <w:bCs w:val="false"/>
                <w:color w:val="1A1A1A"/>
                <w:sz w:val="18"/>
                <w:szCs w:val="18"/>
              </w:rPr>
              <w:t xml:space="preserve">Üretilen içerik türleri</w:t>
            </w:r>
          </w:p>
        </w:tc>
        <w:tc>
          <w:tcPr>
            <w:tcW w:type="dxa" w:w="5232"/>
            <w:shd w:fill="FFFFFF" w:val="clear"/>
            <w:tcMar>
              <w:top w:type="dxa" w:w="90"/>
              <w:left w:type="dxa" w:w="120"/>
              <w:bottom w:type="dxa" w:w="90"/>
              <w:right w:type="dxa" w:w="120"/>
            </w:tcMar>
          </w:tcPr>
          <w:p>
            <w:pPr>
              <w:spacing w:after="20"/>
              <w:jc w:val="left"/>
            </w:pPr>
            <w:r>
              <w:rPr>
                <w:b w:val="false"/>
                <w:bCs w:val="false"/>
                <w:color w:val="1A1A1A"/>
                <w:sz w:val="18"/>
                <w:szCs w:val="18"/>
              </w:rPr>
              <w:t xml:space="preserve">[metin / görsel / ses / video]</w:t>
            </w:r>
          </w:p>
        </w:tc>
      </w:tr>
      <w:tr>
        <w:tc>
          <w:tcPr>
            <w:tcW w:type="dxa" w:w="3788"/>
            <w:shd w:fill="FFFFFF" w:val="clear"/>
            <w:tcMar>
              <w:top w:type="dxa" w:w="90"/>
              <w:left w:type="dxa" w:w="120"/>
              <w:bottom w:type="dxa" w:w="90"/>
              <w:right w:type="dxa" w:w="120"/>
            </w:tcMar>
          </w:tcPr>
          <w:p>
            <w:pPr>
              <w:spacing w:after="20"/>
              <w:jc w:val="left"/>
            </w:pPr>
            <w:r>
              <w:rPr>
                <w:b w:val="false"/>
                <w:bCs w:val="false"/>
                <w:color w:val="1A1A1A"/>
                <w:sz w:val="18"/>
                <w:szCs w:val="18"/>
              </w:rPr>
              <w:t xml:space="preserve">Makine-okunur işaretleme yöntemi</w:t>
            </w:r>
          </w:p>
        </w:tc>
        <w:tc>
          <w:tcPr>
            <w:tcW w:type="dxa" w:w="5232"/>
            <w:shd w:fill="FFFFFF" w:val="clear"/>
            <w:tcMar>
              <w:top w:type="dxa" w:w="90"/>
              <w:left w:type="dxa" w:w="120"/>
              <w:bottom w:type="dxa" w:w="90"/>
              <w:right w:type="dxa" w:w="120"/>
            </w:tcMar>
          </w:tcPr>
          <w:p>
            <w:pPr>
              <w:spacing w:after="20"/>
              <w:jc w:val="left"/>
            </w:pPr>
            <w:r>
              <w:rPr>
                <w:b w:val="false"/>
                <w:bCs w:val="false"/>
                <w:color w:val="1A1A1A"/>
                <w:sz w:val="18"/>
                <w:szCs w:val="18"/>
              </w:rPr>
              <w:t xml:space="preserve">[C2PA / görünmez filigran / metadata / uygulanmıyor]</w:t>
            </w:r>
          </w:p>
        </w:tc>
      </w:tr>
      <w:tr>
        <w:tc>
          <w:tcPr>
            <w:tcW w:type="dxa" w:w="3788"/>
            <w:shd w:fill="FFFFFF" w:val="clear"/>
            <w:tcMar>
              <w:top w:type="dxa" w:w="90"/>
              <w:left w:type="dxa" w:w="120"/>
              <w:bottom w:type="dxa" w:w="90"/>
              <w:right w:type="dxa" w:w="120"/>
            </w:tcMar>
          </w:tcPr>
          <w:p>
            <w:pPr>
              <w:spacing w:after="20"/>
              <w:jc w:val="left"/>
            </w:pPr>
            <w:r>
              <w:rPr>
                <w:b w:val="false"/>
                <w:bCs w:val="false"/>
                <w:color w:val="1A1A1A"/>
                <w:sz w:val="18"/>
                <w:szCs w:val="18"/>
              </w:rPr>
              <w:t xml:space="preserve">İnsan-okunur ifşa kabiliyeti</w:t>
            </w:r>
          </w:p>
        </w:tc>
        <w:tc>
          <w:tcPr>
            <w:tcW w:type="dxa" w:w="5232"/>
            <w:shd w:fill="FFFFFF" w:val="clear"/>
            <w:tcMar>
              <w:top w:type="dxa" w:w="90"/>
              <w:left w:type="dxa" w:w="120"/>
              <w:bottom w:type="dxa" w:w="90"/>
              <w:right w:type="dxa" w:w="120"/>
            </w:tcMar>
          </w:tcPr>
          <w:p>
            <w:pPr>
              <w:spacing w:after="20"/>
              <w:jc w:val="left"/>
            </w:pPr>
            <w:r>
              <w:rPr>
                <w:b w:val="false"/>
                <w:bCs w:val="false"/>
                <w:color w:val="1A1A1A"/>
                <w:sz w:val="18"/>
                <w:szCs w:val="18"/>
              </w:rPr>
              <w:t xml:space="preserve">[var / yapılandırılabilir / yok]</w:t>
            </w:r>
          </w:p>
        </w:tc>
      </w:tr>
      <w:tr>
        <w:tc>
          <w:tcPr>
            <w:tcW w:type="dxa" w:w="3788"/>
            <w:shd w:fill="FFFFFF" w:val="clear"/>
            <w:tcMar>
              <w:top w:type="dxa" w:w="90"/>
              <w:left w:type="dxa" w:w="120"/>
              <w:bottom w:type="dxa" w:w="90"/>
              <w:right w:type="dxa" w:w="120"/>
            </w:tcMar>
          </w:tcPr>
          <w:p>
            <w:pPr>
              <w:spacing w:after="20"/>
              <w:jc w:val="left"/>
            </w:pPr>
            <w:r>
              <w:rPr>
                <w:b w:val="false"/>
                <w:bCs w:val="false"/>
                <w:color w:val="1A1A1A"/>
                <w:sz w:val="18"/>
                <w:szCs w:val="18"/>
              </w:rPr>
              <w:t xml:space="preserve">Desteklenen ifşa dilleri</w:t>
            </w:r>
          </w:p>
        </w:tc>
        <w:tc>
          <w:tcPr>
            <w:tcW w:type="dxa" w:w="5232"/>
            <w:shd w:fill="FFFFFF" w:val="clear"/>
            <w:tcMar>
              <w:top w:type="dxa" w:w="90"/>
              <w:left w:type="dxa" w:w="120"/>
              <w:bottom w:type="dxa" w:w="90"/>
              <w:right w:type="dxa" w:w="120"/>
            </w:tcMar>
          </w:tcPr>
          <w:p>
            <w:pPr>
              <w:spacing w:after="20"/>
              <w:jc w:val="left"/>
            </w:pPr>
            <w:r>
              <w:rPr>
                <w:b w:val="false"/>
                <w:bCs w:val="false"/>
                <w:color w:val="1A1A1A"/>
                <w:sz w:val="18"/>
                <w:szCs w:val="18"/>
              </w:rPr>
              <w:t xml:space="preserve">[...]</w:t>
            </w:r>
          </w:p>
        </w:tc>
      </w:tr>
      <w:tr>
        <w:tc>
          <w:tcPr>
            <w:tcW w:type="dxa" w:w="3788"/>
            <w:shd w:fill="FFFFFF" w:val="clear"/>
            <w:tcMar>
              <w:top w:type="dxa" w:w="90"/>
              <w:left w:type="dxa" w:w="120"/>
              <w:bottom w:type="dxa" w:w="90"/>
              <w:right w:type="dxa" w:w="120"/>
            </w:tcMar>
          </w:tcPr>
          <w:p>
            <w:pPr>
              <w:spacing w:after="20"/>
              <w:jc w:val="left"/>
            </w:pPr>
            <w:r>
              <w:rPr>
                <w:b w:val="false"/>
                <w:bCs w:val="false"/>
                <w:color w:val="1A1A1A"/>
                <w:sz w:val="18"/>
                <w:szCs w:val="18"/>
              </w:rPr>
              <w:t xml:space="preserve">İşaretlemenin uygulanmadığı hâller ve gerekçesi</w:t>
            </w:r>
          </w:p>
        </w:tc>
        <w:tc>
          <w:tcPr>
            <w:tcW w:type="dxa" w:w="5232"/>
            <w:shd w:fill="FFFFFF" w:val="clear"/>
            <w:tcMar>
              <w:top w:type="dxa" w:w="90"/>
              <w:left w:type="dxa" w:w="120"/>
              <w:bottom w:type="dxa" w:w="90"/>
              <w:right w:type="dxa" w:w="120"/>
            </w:tcMar>
          </w:tcPr>
          <w:p>
            <w:pPr>
              <w:spacing w:after="20"/>
              <w:jc w:val="left"/>
            </w:pPr>
            <w:r>
              <w:rPr>
                <w:b w:val="false"/>
                <w:bCs w:val="false"/>
                <w:color w:val="1A1A1A"/>
                <w:sz w:val="18"/>
                <w:szCs w:val="18"/>
              </w:rPr>
              <w:t xml:space="preserve">[...]</w:t>
            </w:r>
          </w:p>
        </w:tc>
      </w:tr>
      <w:tr>
        <w:tc>
          <w:tcPr>
            <w:tcW w:type="dxa" w:w="3788"/>
            <w:shd w:fill="FFFFFF" w:val="clear"/>
            <w:tcMar>
              <w:top w:type="dxa" w:w="90"/>
              <w:left w:type="dxa" w:w="120"/>
              <w:bottom w:type="dxa" w:w="90"/>
              <w:right w:type="dxa" w:w="120"/>
            </w:tcMar>
          </w:tcPr>
          <w:p>
            <w:pPr>
              <w:spacing w:after="20"/>
              <w:jc w:val="left"/>
            </w:pPr>
            <w:r>
              <w:rPr>
                <w:b w:val="false"/>
                <w:bCs w:val="false"/>
                <w:color w:val="1A1A1A"/>
                <w:sz w:val="18"/>
                <w:szCs w:val="18"/>
              </w:rPr>
              <w:t xml:space="preserve">İşaretlemenin üçüncü taraf işlemede korunması</w:t>
            </w:r>
          </w:p>
        </w:tc>
        <w:tc>
          <w:tcPr>
            <w:tcW w:type="dxa" w:w="5232"/>
            <w:shd w:fill="FFFFFF" w:val="clear"/>
            <w:tcMar>
              <w:top w:type="dxa" w:w="90"/>
              <w:left w:type="dxa" w:w="120"/>
              <w:bottom w:type="dxa" w:w="90"/>
              <w:right w:type="dxa" w:w="120"/>
            </w:tcMar>
          </w:tcPr>
          <w:p>
            <w:pPr>
              <w:spacing w:after="20"/>
              <w:jc w:val="left"/>
            </w:pPr>
            <w:r>
              <w:rPr>
                <w:b w:val="false"/>
                <w:bCs w:val="false"/>
                <w:color w:val="1A1A1A"/>
                <w:sz w:val="18"/>
                <w:szCs w:val="18"/>
              </w:rPr>
              <w:t xml:space="preserve">[evet / hayır / kısmen]</w:t>
            </w:r>
          </w:p>
        </w:tc>
      </w:tr>
      <w:tr>
        <w:tc>
          <w:tcPr>
            <w:tcW w:type="dxa" w:w="3788"/>
            <w:shd w:fill="FFFFFF" w:val="clear"/>
            <w:tcMar>
              <w:top w:type="dxa" w:w="90"/>
              <w:left w:type="dxa" w:w="120"/>
              <w:bottom w:type="dxa" w:w="90"/>
              <w:right w:type="dxa" w:w="120"/>
            </w:tcMar>
          </w:tcPr>
          <w:p>
            <w:pPr>
              <w:spacing w:after="20"/>
              <w:jc w:val="left"/>
            </w:pPr>
            <w:r>
              <w:rPr>
                <w:b w:val="false"/>
                <w:bCs w:val="false"/>
                <w:color w:val="1A1A1A"/>
                <w:sz w:val="18"/>
                <w:szCs w:val="18"/>
              </w:rPr>
              <w:t xml:space="preserve">Bilinen sınırlamalar</w:t>
            </w:r>
          </w:p>
        </w:tc>
        <w:tc>
          <w:tcPr>
            <w:tcW w:type="dxa" w:w="5232"/>
            <w:shd w:fill="FFFFFF" w:val="clear"/>
            <w:tcMar>
              <w:top w:type="dxa" w:w="90"/>
              <w:left w:type="dxa" w:w="120"/>
              <w:bottom w:type="dxa" w:w="90"/>
              <w:right w:type="dxa" w:w="120"/>
            </w:tcMar>
          </w:tcPr>
          <w:p>
            <w:pPr>
              <w:spacing w:after="20"/>
              <w:jc w:val="left"/>
            </w:pPr>
            <w:r>
              <w:rPr>
                <w:b w:val="false"/>
                <w:bCs w:val="false"/>
                <w:color w:val="1A1A1A"/>
                <w:sz w:val="18"/>
                <w:szCs w:val="18"/>
              </w:rPr>
              <w:t xml:space="preserve">[...]</w:t>
            </w:r>
          </w:p>
        </w:tc>
      </w:tr>
    </w:tbl>
    <w:p>
      <w:pPr>
        <w:pStyle w:val="Heading1"/>
      </w:pPr>
      <w:r>
        <w:t xml:space="preserve">İmza</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510"/>
        <w:gridCol w:w="4510"/>
      </w:tblGrid>
      <w:tr>
        <w:trPr>
          <w:tblHeader/>
        </w:trPr>
        <w:tc>
          <w:tcPr>
            <w:tcW w:type="dxa" w:w="4510"/>
            <w:shd w:fill="0B2545" w:val="clear"/>
            <w:tcMar>
              <w:top w:type="dxa" w:w="90"/>
              <w:left w:type="dxa" w:w="120"/>
              <w:bottom w:type="dxa" w:w="90"/>
              <w:right w:type="dxa" w:w="120"/>
            </w:tcMar>
          </w:tcPr>
          <w:p>
            <w:pPr>
              <w:spacing w:after="20"/>
              <w:jc w:val="left"/>
            </w:pPr>
            <w:r>
              <w:rPr>
                <w:b/>
                <w:bCs/>
                <w:color w:val="FFFFFF"/>
                <w:sz w:val="18"/>
                <w:szCs w:val="18"/>
              </w:rPr>
              <w:t xml:space="preserve">ALICI</w:t>
            </w:r>
          </w:p>
        </w:tc>
        <w:tc>
          <w:tcPr>
            <w:tcW w:type="dxa" w:w="4510"/>
            <w:shd w:fill="0B2545" w:val="clear"/>
            <w:tcMar>
              <w:top w:type="dxa" w:w="90"/>
              <w:left w:type="dxa" w:w="120"/>
              <w:bottom w:type="dxa" w:w="90"/>
              <w:right w:type="dxa" w:w="120"/>
            </w:tcMar>
          </w:tcPr>
          <w:p>
            <w:pPr>
              <w:spacing w:after="20"/>
              <w:jc w:val="left"/>
            </w:pPr>
            <w:r>
              <w:rPr>
                <w:b/>
                <w:bCs/>
                <w:color w:val="FFFFFF"/>
                <w:sz w:val="18"/>
                <w:szCs w:val="18"/>
              </w:rPr>
              <w:t xml:space="preserve">TEDARİKÇİ</w:t>
            </w:r>
          </w:p>
        </w:tc>
      </w:tr>
      <w:tr>
        <w:tc>
          <w:tcPr>
            <w:tcW w:type="dxa" w:w="4510"/>
            <w:shd w:fill="FFFFFF" w:val="clear"/>
            <w:tcMar>
              <w:top w:type="dxa" w:w="90"/>
              <w:left w:type="dxa" w:w="120"/>
              <w:bottom w:type="dxa" w:w="90"/>
              <w:right w:type="dxa" w:w="120"/>
            </w:tcMar>
          </w:tcPr>
          <w:p>
            <w:pPr>
              <w:spacing w:after="20"/>
              <w:jc w:val="left"/>
            </w:pPr>
            <w:r>
              <w:rPr>
                <w:b w:val="false"/>
                <w:bCs w:val="false"/>
                <w:color w:val="1A1A1A"/>
                <w:sz w:val="18"/>
                <w:szCs w:val="18"/>
              </w:rPr>
              <w:t xml:space="preserve">Unvan: [...]</w:t>
            </w:r>
          </w:p>
        </w:tc>
        <w:tc>
          <w:tcPr>
            <w:tcW w:type="dxa" w:w="4510"/>
            <w:shd w:fill="FFFFFF" w:val="clear"/>
            <w:tcMar>
              <w:top w:type="dxa" w:w="90"/>
              <w:left w:type="dxa" w:w="120"/>
              <w:bottom w:type="dxa" w:w="90"/>
              <w:right w:type="dxa" w:w="120"/>
            </w:tcMar>
          </w:tcPr>
          <w:p>
            <w:pPr>
              <w:spacing w:after="20"/>
              <w:jc w:val="left"/>
            </w:pPr>
            <w:r>
              <w:rPr>
                <w:b w:val="false"/>
                <w:bCs w:val="false"/>
                <w:color w:val="1A1A1A"/>
                <w:sz w:val="18"/>
                <w:szCs w:val="18"/>
              </w:rPr>
              <w:t xml:space="preserve">Unvan: [...]</w:t>
            </w:r>
          </w:p>
        </w:tc>
      </w:tr>
      <w:tr>
        <w:tc>
          <w:tcPr>
            <w:tcW w:type="dxa" w:w="4510"/>
            <w:shd w:fill="FFFFFF" w:val="clear"/>
            <w:tcMar>
              <w:top w:type="dxa" w:w="90"/>
              <w:left w:type="dxa" w:w="120"/>
              <w:bottom w:type="dxa" w:w="90"/>
              <w:right w:type="dxa" w:w="120"/>
            </w:tcMar>
          </w:tcPr>
          <w:p>
            <w:pPr>
              <w:spacing w:after="20"/>
              <w:jc w:val="left"/>
            </w:pPr>
            <w:r>
              <w:rPr>
                <w:b w:val="false"/>
                <w:bCs w:val="false"/>
                <w:color w:val="1A1A1A"/>
                <w:sz w:val="18"/>
                <w:szCs w:val="18"/>
              </w:rPr>
              <w:t xml:space="preserve">Ad Soyad: [...]</w:t>
            </w:r>
          </w:p>
        </w:tc>
        <w:tc>
          <w:tcPr>
            <w:tcW w:type="dxa" w:w="4510"/>
            <w:shd w:fill="FFFFFF" w:val="clear"/>
            <w:tcMar>
              <w:top w:type="dxa" w:w="90"/>
              <w:left w:type="dxa" w:w="120"/>
              <w:bottom w:type="dxa" w:w="90"/>
              <w:right w:type="dxa" w:w="120"/>
            </w:tcMar>
          </w:tcPr>
          <w:p>
            <w:pPr>
              <w:spacing w:after="20"/>
              <w:jc w:val="left"/>
            </w:pPr>
            <w:r>
              <w:rPr>
                <w:b w:val="false"/>
                <w:bCs w:val="false"/>
                <w:color w:val="1A1A1A"/>
                <w:sz w:val="18"/>
                <w:szCs w:val="18"/>
              </w:rPr>
              <w:t xml:space="preserve">Ad Soyad: [...]</w:t>
            </w:r>
          </w:p>
        </w:tc>
      </w:tr>
      <w:tr>
        <w:tc>
          <w:tcPr>
            <w:tcW w:type="dxa" w:w="4510"/>
            <w:shd w:fill="FFFFFF" w:val="clear"/>
            <w:tcMar>
              <w:top w:type="dxa" w:w="90"/>
              <w:left w:type="dxa" w:w="120"/>
              <w:bottom w:type="dxa" w:w="90"/>
              <w:right w:type="dxa" w:w="120"/>
            </w:tcMar>
          </w:tcPr>
          <w:p>
            <w:pPr>
              <w:spacing w:after="20"/>
              <w:jc w:val="left"/>
            </w:pPr>
            <w:r>
              <w:rPr>
                <w:b w:val="false"/>
                <w:bCs w:val="false"/>
                <w:color w:val="1A1A1A"/>
                <w:sz w:val="18"/>
                <w:szCs w:val="18"/>
              </w:rPr>
              <w:t xml:space="preserve">Tarih: [...]</w:t>
            </w:r>
          </w:p>
        </w:tc>
        <w:tc>
          <w:tcPr>
            <w:tcW w:type="dxa" w:w="4510"/>
            <w:shd w:fill="FFFFFF" w:val="clear"/>
            <w:tcMar>
              <w:top w:type="dxa" w:w="90"/>
              <w:left w:type="dxa" w:w="120"/>
              <w:bottom w:type="dxa" w:w="90"/>
              <w:right w:type="dxa" w:w="120"/>
            </w:tcMar>
          </w:tcPr>
          <w:p>
            <w:pPr>
              <w:spacing w:after="20"/>
              <w:jc w:val="left"/>
            </w:pPr>
            <w:r>
              <w:rPr>
                <w:b w:val="false"/>
                <w:bCs w:val="false"/>
                <w:color w:val="1A1A1A"/>
                <w:sz w:val="18"/>
                <w:szCs w:val="18"/>
              </w:rPr>
              <w:t xml:space="preserve">Tarih: [...]</w:t>
            </w:r>
          </w:p>
        </w:tc>
      </w:tr>
      <w:tr>
        <w:tc>
          <w:tcPr>
            <w:tcW w:type="dxa" w:w="4510"/>
            <w:shd w:fill="FFFFFF" w:val="clear"/>
            <w:tcMar>
              <w:top w:type="dxa" w:w="90"/>
              <w:left w:type="dxa" w:w="120"/>
              <w:bottom w:type="dxa" w:w="90"/>
              <w:right w:type="dxa" w:w="120"/>
            </w:tcMar>
          </w:tcPr>
          <w:p>
            <w:pPr>
              <w:spacing w:after="20"/>
              <w:jc w:val="left"/>
            </w:pPr>
            <w:r>
              <w:rPr>
                <w:b w:val="false"/>
                <w:bCs w:val="false"/>
                <w:color w:val="1A1A1A"/>
                <w:sz w:val="18"/>
                <w:szCs w:val="18"/>
              </w:rPr>
              <w:t xml:space="preserve">İmza:</w:t>
            </w:r>
          </w:p>
        </w:tc>
        <w:tc>
          <w:tcPr>
            <w:tcW w:type="dxa" w:w="4510"/>
            <w:shd w:fill="FFFFFF" w:val="clear"/>
            <w:tcMar>
              <w:top w:type="dxa" w:w="90"/>
              <w:left w:type="dxa" w:w="120"/>
              <w:bottom w:type="dxa" w:w="90"/>
              <w:right w:type="dxa" w:w="120"/>
            </w:tcMar>
          </w:tcPr>
          <w:p>
            <w:pPr>
              <w:spacing w:after="20"/>
              <w:jc w:val="left"/>
            </w:pPr>
            <w:r>
              <w:rPr>
                <w:b w:val="false"/>
                <w:bCs w:val="false"/>
                <w:color w:val="1A1A1A"/>
                <w:sz w:val="18"/>
                <w:szCs w:val="18"/>
              </w:rPr>
              <w:t xml:space="preserve">İmza:</w:t>
            </w:r>
          </w:p>
        </w:tc>
      </w:tr>
    </w:tbl>
    <w:p>
      <w:pPr>
        <w:pStyle w:val="Heading1"/>
      </w:pPr>
      <w:r>
        <w:t xml:space="preserve">Yasal Uyarı</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0"/>
      </w:tblGrid>
      <w:tr>
        <w:tc>
          <w:tcPr>
            <w:tcW w:type="dxa" w:w="9020"/>
            <w:tcBorders>
              <w:top w:val="none"/>
              <w:left w:val="single" w:color="5A6472" w:sz="24"/>
              <w:bottom w:val="none"/>
              <w:right w:val="none"/>
            </w:tcBorders>
            <w:shd w:fill="F7F7F9" w:val="clear"/>
            <w:tcMar>
              <w:top w:type="dxa" w:w="160"/>
              <w:left w:type="dxa" w:w="200"/>
              <w:bottom w:type="dxa" w:w="160"/>
              <w:right w:type="dxa" w:w="200"/>
            </w:tcMar>
          </w:tcPr>
          <w:p>
            <w:pPr>
              <w:jc w:val="both"/>
            </w:pPr>
            <w:r>
              <w:rPr>
                <w:b/>
                <w:bCs/>
                <w:i w:val="false"/>
                <w:iCs w:val="false"/>
              </w:rPr>
              <w:t xml:space="preserve">Yasal uyarı. </w:t>
            </w:r>
            <w:r>
              <w:rPr>
                <w:b w:val="false"/>
                <w:bCs w:val="false"/>
                <w:i w:val="false"/>
                <w:iCs w:val="false"/>
              </w:rPr>
              <w:t xml:space="preserve">Bu belge, AB Yapay Zeka Tüzüğü (Regulation (EU) 2024/1689) kapsamındaki şeffaflık yükümlülüklerine ilişkin genel nitelikli bir uyum dokümantasyon şablonudur. Belirli bir olay, sistem veya şirket bakımından hukuki mütalaa, avukatlık hizmeti veya vekâlet ilişkisi teşkil etmez. Şablonlar kullanılmadan önce şirketinizin fiili sistem envanterine göre uyarlanmalı ve yetkili bir hukuk müşaviri tarafından gözden geçirilmelidir. Mevzuat, Digital Omnibus değişiklikleri dâhil olmak üzere gelişmeye devam etmektedir; nihai metinler Avrupa Birliği Resmî Gazetesi (Official Journal) üzerinden teyit edilmelidir.</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A6472"/>
        <w:sz w:val="15"/>
        <w:szCs w:val="15"/>
      </w:rPr>
      <w:t xml:space="preserve">AI Uyum ve Yönetişim · Sürüm 1.0 (Temmuz 2026) · Sayfa </w:t>
    </w:r>
    <w:r>
      <w:rPr>
        <w:color w:val="5A6472"/>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color w:val="5A6472"/>
        <w:sz w:val="15"/>
        <w:szCs w:val="15"/>
      </w:rPr>
      <w:t xml:space="preserve">AIA-04 · Tedarikçi Sözleşmesi Yapay Zeka Ek Protokolü</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abstractNum w:abstractNumId="3" w15:restartNumberingAfterBreak="0">
    <w:multiLevelType w:val="hybridMultilevel"/>
    <w:lvl w:ilvl="0" w15:tentative="1">
      <w:start w:val="1"/>
      <w:numFmt w:val="decimal"/>
      <w:lvlText w:val="%1."/>
      <w:lvlJc w:val="left"/>
      <w:pPr>
        <w:ind w:left="400" w:hanging="24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0"/>
        <w:szCs w:val="20"/>
      </w:rPr>
    </w:rPrDefault>
    <w:pPrDefault>
      <w:pPr>
        <w:spacing w:after="12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0B2545" w:sz="8" w:space="6"/>
      </w:pBdr>
      <w:spacing w:after="180" w:before="400"/>
    </w:pPr>
    <w:rPr>
      <w:rFonts w:ascii="Arial" w:cs="Arial" w:eastAsia="Arial" w:hAnsi="Arial"/>
      <w:b/>
      <w:bCs/>
      <w:color w:val="0B2545"/>
      <w:sz w:val="30"/>
      <w:szCs w:val="30"/>
    </w:rPr>
  </w:style>
  <w:style w:type="paragraph" w:styleId="Heading2">
    <w:name w:val="Heading 2"/>
    <w:basedOn w:val="Normal"/>
    <w:next w:val="Normal"/>
    <w:qFormat/>
    <w:pPr>
      <w:spacing w:after="120" w:before="300"/>
    </w:pPr>
    <w:rPr>
      <w:rFonts w:ascii="Arial" w:cs="Arial" w:eastAsia="Arial" w:hAnsi="Arial"/>
      <w:b/>
      <w:bCs/>
      <w:color w:val="0B2545"/>
      <w:sz w:val="24"/>
      <w:szCs w:val="24"/>
    </w:rPr>
  </w:style>
  <w:style w:type="paragraph" w:styleId="Heading3">
    <w:name w:val="Heading 3"/>
    <w:basedOn w:val="Normal"/>
    <w:next w:val="Normal"/>
    <w:qFormat/>
    <w:pPr>
      <w:spacing w:after="90" w:before="220"/>
    </w:pPr>
    <w:rPr>
      <w:rFonts w:ascii="Arial" w:cs="Arial" w:eastAsia="Arial" w:hAnsi="Arial"/>
      <w:b/>
      <w:bCs/>
      <w:color w:val="B3122E"/>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2026-07-30T18:02:48.214Z</dcterms:created>
  <dcterms:modified xsi:type="dcterms:W3CDTF">2026-07-30T18:02:48.214Z</dcterms:modified>
</cp:coreProperties>
</file>

<file path=docProps/custom.xml><?xml version="1.0" encoding="utf-8"?>
<Properties xmlns="http://schemas.openxmlformats.org/officeDocument/2006/custom-properties" xmlns:vt="http://schemas.openxmlformats.org/officeDocument/2006/docPropsVTypes"/>
</file>