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0"/>
      </w:pPr>
      <w:r>
        <w:rPr>
          <w:b/>
          <w:bCs/>
          <w:color w:val="0B2545"/>
          <w:sz w:val="26"/>
          <w:szCs w:val="26"/>
        </w:rPr>
        <w:t xml:space="preserve"/>
      </w:r>
      <w:r>
        <w:rPr>
          <w:color w:val="5A6472"/>
          <w:sz w:val="18"/>
          <w:szCs w:val="18"/>
        </w:rPr>
        <w:t xml:space="preserve">YAPAY ZEKA UYUM VE YÖNETİŞİM</w:t>
      </w:r>
    </w:p>
    <w:p>
      <w:pPr>
        <w:pBdr>
          <w:bottom w:val="single" w:color="B3122E" w:sz="16" w:space="4"/>
        </w:pBdr>
        <w:spacing w:after="300"/>
      </w:pPr>
    </w:p>
    <w:p>
      <w:pPr>
        <w:spacing w:after="100"/>
      </w:pPr>
      <w:r>
        <w:rPr>
          <w:b/>
          <w:bCs/>
          <w:color w:val="B3122E"/>
          <w:sz w:val="18"/>
          <w:szCs w:val="18"/>
        </w:rPr>
        <w:t xml:space="preserve">AIA-05</w:t>
      </w:r>
    </w:p>
    <w:p>
      <w:pPr>
        <w:spacing w:after="100"/>
      </w:pPr>
      <w:r>
        <w:rPr>
          <w:b/>
          <w:bCs/>
          <w:color w:val="0B2545"/>
          <w:sz w:val="40"/>
          <w:szCs w:val="40"/>
        </w:rPr>
        <w:t xml:space="preserve">Çalışan Yapay Zeka Kullanım Politikası</w:t>
      </w:r>
    </w:p>
    <w:p>
      <w:pPr>
        <w:spacing w:after="400"/>
      </w:pPr>
      <w:r>
        <w:rPr>
          <w:color w:val="5A6472"/>
          <w:sz w:val="22"/>
          <w:szCs w:val="22"/>
        </w:rPr>
        <w:t xml:space="preserve">Onaylı araçlar, yasak veriler, ifşa uygulaması ve editoryal onay kaydı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B3122E" w:sz="24"/>
              <w:bottom w:val="none"/>
              <w:right w:val="none"/>
            </w:tcBorders>
            <w:shd w:fill="EEF1F5" w:val="clear"/>
            <w:tcMar>
              <w:top w:type="dxa" w:w="160"/>
              <w:left w:type="dxa" w:w="200"/>
              <w:bottom w:type="dxa" w:w="160"/>
              <w:right w:type="dxa" w:w="200"/>
            </w:tcMar>
          </w:tcPr>
          <w:p>
            <w:pPr>
              <w:jc w:val="both"/>
            </w:pPr>
            <w:r>
              <w:rPr>
                <w:b/>
                <w:bCs/>
                <w:i w:val="false"/>
                <w:iCs w:val="false"/>
              </w:rPr>
              <w:t xml:space="preserve">Kullanım notu. </w:t>
            </w:r>
            <w:r>
              <w:rPr>
                <w:b w:val="false"/>
                <w:bCs w:val="false"/>
                <w:i w:val="false"/>
                <w:iCs w:val="false"/>
              </w:rPr>
              <w:t xml:space="preserve">Bu şablon, çalışanlara tebliğ edilmek üzere hazırlanmış bir iç politikadır. Köşeli parantezleri doldurun, Ek-1’deki onaylı araç listesini şirketinizin gerçek durumuna göre yazın ve tebliğ kayıtlarını saklayın. Tebliğ edilmemiş politika, iş hukuku bakımından da uyum denetimi bakımından da dayanak oluşturmaz.</w:t>
            </w:r>
          </w:p>
        </w:tc>
      </w:tr>
    </w:tbl>
    <w:p>
      <w:pPr>
        <w:pStyle w:val="Heading1"/>
      </w:pPr>
      <w:r>
        <w:t xml:space="preserve">1. Amaç</w:t>
      </w:r>
    </w:p>
    <w:p>
      <w:pPr>
        <w:jc w:val="both"/>
      </w:pPr>
      <w:r>
        <w:t xml:space="preserve">Bu Politika, [ŞİRKET UNVANI] (“Şirket”) çalışanlarının iş faaliyetleri kapsamında yapay zeka araçlarını kullanırken uyacakları kuralları belirler. Amaç; ticari sırların ve kişisel verilerin korunması, müşteri sözleşmelerinden doğan gizlilik yükümlülüklerinin ihlal edilmemesi ve AB Yapay Zeka Tüzüğü (Regulation (EU) 2024/1689) m. 50 kapsamındaki şeffaflık yükümlülüklerinin fiilen uygulanmasıdır.</w:t>
      </w:r>
    </w:p>
    <w:p>
      <w:pPr>
        <w:pStyle w:val="Heading1"/>
      </w:pPr>
      <w:r>
        <w:t xml:space="preserve">2. Kapsam</w:t>
      </w:r>
    </w:p>
    <w:p>
      <w:pPr>
        <w:jc w:val="both"/>
      </w:pPr>
      <w:r>
        <w:t xml:space="preserve">Politika; tüm çalışanları, stajyerleri, danışmanları ve Şirket adına iş gören alt yüklenici personelini kapsar. Şirkete ait cihazlarda ve kişisel cihazlarda yapılan iş amaçlı kullanımların tamamına uygulanır.</w:t>
      </w:r>
    </w:p>
    <w:p>
      <w:pPr>
        <w:pStyle w:val="Heading1"/>
      </w:pPr>
      <w:r>
        <w:t xml:space="preserve">3. Onaylı araçlar</w:t>
      </w:r>
    </w:p>
    <w:p>
      <w:pPr>
        <w:jc w:val="both"/>
      </w:pPr>
      <w:r>
        <w:t xml:space="preserve">Yalnızca Ek-1’de listelenen araçlar iş amaçlı kullanılabilir. Listede bulunmayan bir aracın kullanılabilmesi için [BİLGİ GÜVENLİĞİ / IT BİRİMİ] onayı gereklidir. Onay talebi, aracın adı, sağlayıcısı, işlenecek veri türü ve kullanım amacı belirtilerek yapılır.</w:t>
      </w:r>
    </w:p>
    <w:p>
      <w:pPr>
        <w:jc w:val="both"/>
      </w:pPr>
      <w:r>
        <w:rPr>
          <w:b/>
          <w:bCs/>
          <w:i w:val="false"/>
          <w:iCs w:val="false"/>
        </w:rPr>
        <w:t xml:space="preserve">Kurumsal hesap zorunluluğu: </w:t>
      </w:r>
      <w:r>
        <w:rPr>
          <w:b w:val="false"/>
          <w:bCs w:val="false"/>
          <w:i w:val="false"/>
          <w:iCs w:val="false"/>
        </w:rPr>
        <w:t xml:space="preserve">Onaylı araçlar yalnızca Şirket tarafından sağlanan kurumsal hesaplar üzerinden kullanılır. Kişisel veya ücretsiz hesaplarla iş verisi işlenmesi yasaktır; bu hesaplarda girdilerin model eğitiminde kullanılması ve veri saklama süreleri Şirketin kontrolü dışındadır.</w:t>
      </w:r>
    </w:p>
    <w:p>
      <w:pPr>
        <w:pStyle w:val="Heading1"/>
      </w:pPr>
      <w:r>
        <w:t xml:space="preserve">4. Yasak kullanımlar</w:t>
      </w:r>
    </w:p>
    <w:p>
      <w:pPr>
        <w:jc w:val="both"/>
      </w:pPr>
      <w:r>
        <w:t xml:space="preserve">Aşağıdaki verilerin onaylı olsun olmasın hiçbir yapay zeka aracına girilmesi yasaktır:</w:t>
      </w:r>
    </w:p>
    <w:p>
      <w:pPr>
        <w:pStyle w:val="ListParagraph"/>
        <w:numPr>
          <w:ilvl w:val="0"/>
          <w:numId w:val="2"/>
        </w:numPr>
        <w:spacing w:after="60"/>
        <w:jc w:val="left"/>
      </w:pPr>
      <w:r>
        <w:t xml:space="preserve">Müşteri sözleşmeleri, teklifler, fiyat listeleri ve müzakere yazışmaları.</w:t>
      </w:r>
    </w:p>
    <w:p>
      <w:pPr>
        <w:pStyle w:val="ListParagraph"/>
        <w:numPr>
          <w:ilvl w:val="0"/>
          <w:numId w:val="2"/>
        </w:numPr>
        <w:spacing w:after="60"/>
        <w:jc w:val="left"/>
      </w:pPr>
      <w:r>
        <w:t xml:space="preserve">Gizlilik sözleşmesi (NDA) kapsamındaki her türlü bilgi.</w:t>
      </w:r>
    </w:p>
    <w:p>
      <w:pPr>
        <w:pStyle w:val="ListParagraph"/>
        <w:numPr>
          <w:ilvl w:val="0"/>
          <w:numId w:val="2"/>
        </w:numPr>
        <w:spacing w:after="60"/>
        <w:jc w:val="left"/>
      </w:pPr>
      <w:r>
        <w:t xml:space="preserve">Kişisel veriler; özellikle 6698 sayılı Kanun m. 6 anlamında özel nitelikli kişisel veriler.</w:t>
      </w:r>
    </w:p>
    <w:p>
      <w:pPr>
        <w:pStyle w:val="ListParagraph"/>
        <w:numPr>
          <w:ilvl w:val="0"/>
          <w:numId w:val="2"/>
        </w:numPr>
        <w:spacing w:after="60"/>
        <w:jc w:val="left"/>
      </w:pPr>
      <w:r>
        <w:t xml:space="preserve">Kimlik, pasaport, banka hesabı, kart bilgileri ve kimlik doğrulama bilgileri.</w:t>
      </w:r>
    </w:p>
    <w:p>
      <w:pPr>
        <w:pStyle w:val="ListParagraph"/>
        <w:numPr>
          <w:ilvl w:val="0"/>
          <w:numId w:val="2"/>
        </w:numPr>
        <w:spacing w:after="60"/>
        <w:jc w:val="left"/>
      </w:pPr>
      <w:r>
        <w:t xml:space="preserve">Kaynak kodu, mimari şemalar, kimlik bilgileri, API anahtarları ve erişim belirteçleri.</w:t>
      </w:r>
    </w:p>
    <w:p>
      <w:pPr>
        <w:pStyle w:val="ListParagraph"/>
        <w:numPr>
          <w:ilvl w:val="0"/>
          <w:numId w:val="2"/>
        </w:numPr>
        <w:spacing w:after="60"/>
        <w:jc w:val="left"/>
      </w:pPr>
      <w:r>
        <w:t xml:space="preserve">Henüz kamuya açıklanmamış finansal veriler ve stratejik planlar.</w:t>
      </w:r>
    </w:p>
    <w:p>
      <w:pPr>
        <w:pStyle w:val="ListParagraph"/>
        <w:numPr>
          <w:ilvl w:val="0"/>
          <w:numId w:val="2"/>
        </w:numPr>
        <w:spacing w:after="60"/>
        <w:jc w:val="left"/>
      </w:pPr>
      <w:r>
        <w:t xml:space="preserve">İşe alım süreçlerinde adaylara ait başvuru belgeleri ve değerlendirme notları.</w:t>
      </w:r>
    </w:p>
    <w:p>
      <w:pPr>
        <w:jc w:val="both"/>
      </w:pPr>
      <w:r>
        <w:t xml:space="preserve">Bu verilerin anonimleştirilerek veya kısmen maskelenerek girilmesi de, yeniden kimliklendirme riski nedeniyle [BİLGİ GÜVENLİĞİ BİRİMİ] onayına tabidir.</w:t>
      </w:r>
    </w:p>
    <w:p>
      <w:pPr>
        <w:pStyle w:val="Heading1"/>
      </w:pPr>
      <w:r>
        <w:t xml:space="preserve">5. Şeffaflık yükümlülüklerinin çalışan tarafından uygulanması</w:t>
      </w:r>
    </w:p>
    <w:p>
      <w:pPr>
        <w:jc w:val="both"/>
      </w:pPr>
      <w:r>
        <w:t xml:space="preserve">AI Act m. 50 kapsamındaki ifşa yükümlülükleri, uygulamada tekil çalışan davranışlarıyla ihlal edilir. Aşağıdaki kurallar bağlayıcıdır: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706"/>
        <w:gridCol w:w="4690"/>
        <w:gridCol w:w="1624"/>
      </w:tblGrid>
      <w:tr>
        <w:trPr>
          <w:tblHeader/>
        </w:trPr>
        <w:tc>
          <w:tcPr>
            <w:tcW w:type="dxa" w:w="2706"/>
            <w:shd w:fill="0B2545" w:val="clear"/>
            <w:tcMar>
              <w:top w:type="dxa" w:w="90"/>
              <w:left w:type="dxa" w:w="120"/>
              <w:bottom w:type="dxa" w:w="90"/>
              <w:right w:type="dxa" w:w="120"/>
            </w:tcMar>
          </w:tcPr>
          <w:p>
            <w:pPr>
              <w:spacing w:after="20"/>
              <w:jc w:val="left"/>
            </w:pPr>
            <w:r>
              <w:rPr>
                <w:b/>
                <w:bCs/>
                <w:color w:val="FFFFFF"/>
                <w:sz w:val="18"/>
                <w:szCs w:val="18"/>
              </w:rPr>
              <w:t xml:space="preserve">Durum</w:t>
            </w:r>
          </w:p>
        </w:tc>
        <w:tc>
          <w:tcPr>
            <w:tcW w:type="dxa" w:w="4690"/>
            <w:shd w:fill="0B2545" w:val="clear"/>
            <w:tcMar>
              <w:top w:type="dxa" w:w="90"/>
              <w:left w:type="dxa" w:w="120"/>
              <w:bottom w:type="dxa" w:w="90"/>
              <w:right w:type="dxa" w:w="120"/>
            </w:tcMar>
          </w:tcPr>
          <w:p>
            <w:pPr>
              <w:spacing w:after="20"/>
              <w:jc w:val="left"/>
            </w:pPr>
            <w:r>
              <w:rPr>
                <w:b/>
                <w:bCs/>
                <w:color w:val="FFFFFF"/>
                <w:sz w:val="18"/>
                <w:szCs w:val="18"/>
              </w:rPr>
              <w:t xml:space="preserve">Çalışanın yükümlülüğü</w:t>
            </w:r>
          </w:p>
        </w:tc>
        <w:tc>
          <w:tcPr>
            <w:tcW w:type="dxa" w:w="1624"/>
            <w:shd w:fill="0B2545" w:val="clear"/>
            <w:tcMar>
              <w:top w:type="dxa" w:w="90"/>
              <w:left w:type="dxa" w:w="120"/>
              <w:bottom w:type="dxa" w:w="90"/>
              <w:right w:type="dxa" w:w="120"/>
            </w:tcMar>
          </w:tcPr>
          <w:p>
            <w:pPr>
              <w:spacing w:after="20"/>
              <w:jc w:val="left"/>
            </w:pPr>
            <w:r>
              <w:rPr>
                <w:b/>
                <w:bCs/>
                <w:color w:val="FFFFFF"/>
                <w:sz w:val="18"/>
                <w:szCs w:val="18"/>
              </w:rPr>
              <w:t xml:space="preserve">Dayanak</w:t>
            </w:r>
          </w:p>
        </w:tc>
      </w:tr>
      <w:tr>
        <w:tc>
          <w:tcPr>
            <w:tcW w:type="dxa" w:w="2706"/>
            <w:shd w:fill="FFFFFF" w:val="clear"/>
            <w:tcMar>
              <w:top w:type="dxa" w:w="90"/>
              <w:left w:type="dxa" w:w="120"/>
              <w:bottom w:type="dxa" w:w="90"/>
              <w:right w:type="dxa" w:w="120"/>
            </w:tcMar>
          </w:tcPr>
          <w:p>
            <w:pPr>
              <w:spacing w:after="20"/>
              <w:jc w:val="left"/>
            </w:pPr>
            <w:r>
              <w:rPr>
                <w:b w:val="false"/>
                <w:bCs w:val="false"/>
                <w:color w:val="1A1A1A"/>
                <w:sz w:val="18"/>
                <w:szCs w:val="18"/>
              </w:rPr>
              <w:t xml:space="preserve">Müşteriyle yapay zeka aracılığıyla iletişim kurulması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Belge 02’deki ifşa metni kullanılır; kaldırılamaz veya değiştirilemez.</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50(1)</w:t>
            </w:r>
          </w:p>
        </w:tc>
      </w:tr>
      <w:tr>
        <w:tc>
          <w:tcPr>
            <w:tcW w:type="dxa" w:w="2706"/>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Yapay zeka ile görsel, video veya ses üretilmesi</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İçerik yayımlanmadan önce Belge 03’teki ifşa uygulanır.</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50(2), 50(4)</w:t>
            </w:r>
          </w:p>
        </w:tc>
      </w:tr>
      <w:tr>
        <w:tc>
          <w:tcPr>
            <w:tcW w:type="dxa" w:w="2706"/>
            <w:shd w:fill="FFFFFF" w:val="clear"/>
            <w:tcMar>
              <w:top w:type="dxa" w:w="90"/>
              <w:left w:type="dxa" w:w="120"/>
              <w:bottom w:type="dxa" w:w="90"/>
              <w:right w:type="dxa" w:w="120"/>
            </w:tcMar>
          </w:tcPr>
          <w:p>
            <w:pPr>
              <w:spacing w:after="20"/>
              <w:jc w:val="left"/>
            </w:pPr>
            <w:r>
              <w:rPr>
                <w:b w:val="false"/>
                <w:bCs w:val="false"/>
                <w:color w:val="1A1A1A"/>
                <w:sz w:val="18"/>
                <w:szCs w:val="18"/>
              </w:rPr>
              <w:t xml:space="preserve">Gerçek bir kişiye, yere veya olaya benzeyen içerik üretilmesi</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Yayımdan önce [PAZARLAMA / HUKUK] onayı alınır.</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50(4)/1</w:t>
            </w:r>
          </w:p>
        </w:tc>
      </w:tr>
      <w:tr>
        <w:tc>
          <w:tcPr>
            <w:tcW w:type="dxa" w:w="2706"/>
            <w:shd w:fill="FFFFFF" w:val="clear"/>
            <w:tcMar>
              <w:top w:type="dxa" w:w="90"/>
              <w:left w:type="dxa" w:w="120"/>
              <w:bottom w:type="dxa" w:w="90"/>
              <w:right w:type="dxa" w:w="120"/>
            </w:tcMar>
          </w:tcPr>
          <w:p>
            <w:pPr>
              <w:spacing w:after="20"/>
              <w:jc w:val="left"/>
            </w:pPr>
            <w:r>
              <w:rPr>
                <w:b w:val="false"/>
                <w:bCs w:val="false"/>
                <w:color w:val="1A1A1A"/>
                <w:sz w:val="18"/>
                <w:szCs w:val="18"/>
              </w:rPr>
              <w:t xml:space="preserve">Kamuoyunu bilgilendiren metin yayımlanması</w:t>
            </w:r>
          </w:p>
        </w:tc>
        <w:tc>
          <w:tcPr>
            <w:tcW w:type="dxa" w:w="4690"/>
            <w:shd w:fill="FFFFFF" w:val="clear"/>
            <w:tcMar>
              <w:top w:type="dxa" w:w="90"/>
              <w:left w:type="dxa" w:w="120"/>
              <w:bottom w:type="dxa" w:w="90"/>
              <w:right w:type="dxa" w:w="120"/>
            </w:tcMar>
          </w:tcPr>
          <w:p>
            <w:pPr>
              <w:spacing w:after="20"/>
              <w:jc w:val="left"/>
            </w:pPr>
            <w:r>
              <w:rPr>
                <w:b w:val="false"/>
                <w:bCs w:val="false"/>
                <w:color w:val="1A1A1A"/>
                <w:sz w:val="18"/>
                <w:szCs w:val="18"/>
              </w:rPr>
              <w:t xml:space="preserve">İnsan incelemesi yapılır ve Ek-2’deki editoryal onay kaydı doldurulur; aksi hâlde ifşa ibaresi eklenir.</w:t>
            </w:r>
          </w:p>
        </w:tc>
        <w:tc>
          <w:tcPr>
            <w:tcW w:type="dxa" w:w="162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 50(4)/2</w:t>
            </w:r>
          </w:p>
        </w:tc>
      </w:tr>
    </w:tbl>
    <w:p>
      <w:pPr>
        <w:pStyle w:val="Heading1"/>
      </w:pPr>
      <w:r>
        <w:t xml:space="preserve">6. Çıktı doğrulama</w:t>
      </w:r>
    </w:p>
    <w:p>
      <w:pPr>
        <w:jc w:val="both"/>
      </w:pPr>
      <w:r>
        <w:t xml:space="preserve">Yapay zeka çıktısı taslak niteliğindedir; nihai ürün değildir. Çalışan, çıktıyı kullanmadan önce doğrular ve sonuçtan sorumludur.</w:t>
      </w:r>
    </w:p>
    <w:p>
      <w:pPr>
        <w:pStyle w:val="ListParagraph"/>
        <w:numPr>
          <w:ilvl w:val="0"/>
          <w:numId w:val="2"/>
        </w:numPr>
        <w:spacing w:after="60"/>
        <w:jc w:val="left"/>
      </w:pPr>
      <w:r>
        <w:t xml:space="preserve">Sayısal veriler, tarihler ve tutarlar birincil kaynaktan teyit edilir.</w:t>
      </w:r>
    </w:p>
    <w:p>
      <w:pPr>
        <w:pStyle w:val="ListParagraph"/>
        <w:numPr>
          <w:ilvl w:val="0"/>
          <w:numId w:val="2"/>
        </w:numPr>
        <w:spacing w:after="60"/>
        <w:jc w:val="left"/>
      </w:pPr>
      <w:r>
        <w:t xml:space="preserve">Hukuki ve teknik atıflar (mevzuat maddesi, standart numarası, içtihat) doğrulanmadan kullanılmaz.</w:t>
      </w:r>
    </w:p>
    <w:p>
      <w:pPr>
        <w:pStyle w:val="ListParagraph"/>
        <w:numPr>
          <w:ilvl w:val="0"/>
          <w:numId w:val="2"/>
        </w:numPr>
        <w:spacing w:after="60"/>
        <w:jc w:val="left"/>
      </w:pPr>
      <w:r>
        <w:t xml:space="preserve">Müşteriye gidecek her çıktı, gönderilmeden önce yetkili bir çalışan tarafından okunur.</w:t>
      </w:r>
    </w:p>
    <w:p>
      <w:pPr>
        <w:pStyle w:val="ListParagraph"/>
        <w:numPr>
          <w:ilvl w:val="0"/>
          <w:numId w:val="2"/>
        </w:numPr>
        <w:spacing w:after="60"/>
        <w:jc w:val="left"/>
      </w:pPr>
      <w:r>
        <w:t xml:space="preserve">Üçüncü kişilere ait fikri mülkiyet hakkını ihlal edebilecek çıktılar kullanılmaz.</w:t>
      </w:r>
    </w:p>
    <w:p>
      <w:pPr>
        <w:pStyle w:val="Heading1"/>
      </w:pPr>
      <w:r>
        <w:t xml:space="preserve">7. Kayıt</w:t>
      </w:r>
    </w:p>
    <w:p>
      <w:pPr>
        <w:jc w:val="both"/>
      </w:pPr>
      <w:r>
        <w:t xml:space="preserve">Aşağıdaki hâllerde kayıt tutulması zorunludur:</w:t>
      </w:r>
    </w:p>
    <w:p>
      <w:pPr>
        <w:pStyle w:val="ListParagraph"/>
        <w:numPr>
          <w:ilvl w:val="0"/>
          <w:numId w:val="2"/>
        </w:numPr>
        <w:spacing w:after="60"/>
        <w:jc w:val="left"/>
      </w:pPr>
      <w:r>
        <w:t xml:space="preserve">Müşteriye teslim edilen ve yapay zeka ile üretilmiş her çıktı: kullanılan araç, tarih, doğrulayan çalışan.</w:t>
      </w:r>
    </w:p>
    <w:p>
      <w:pPr>
        <w:pStyle w:val="ListParagraph"/>
        <w:numPr>
          <w:ilvl w:val="0"/>
          <w:numId w:val="2"/>
        </w:numPr>
        <w:spacing w:after="60"/>
        <w:jc w:val="left"/>
      </w:pPr>
      <w:r>
        <w:t xml:space="preserve">Kamuya açık her yayın: Ek-2 editoryal onay kaydı.</w:t>
      </w:r>
    </w:p>
    <w:p>
      <w:pPr>
        <w:pStyle w:val="ListParagraph"/>
        <w:numPr>
          <w:ilvl w:val="0"/>
          <w:numId w:val="2"/>
        </w:numPr>
        <w:spacing w:after="60"/>
        <w:jc w:val="left"/>
      </w:pPr>
      <w:r>
        <w:t xml:space="preserve">Onaylı araç listesine yapılan her ekleme ve çıkarma.</w:t>
      </w:r>
    </w:p>
    <w:p>
      <w:pPr>
        <w:jc w:val="both"/>
      </w:pPr>
      <w:r>
        <w:t xml:space="preserve">Kayıtlar Uyum Kayıt Defteri’ne (Belge 06) işlenir ve en az [3] yıl saklanır.</w:t>
      </w:r>
    </w:p>
    <w:p>
      <w:pPr>
        <w:pStyle w:val="Heading1"/>
      </w:pPr>
      <w:r>
        <w:t xml:space="preserve">8. İhlal</w:t>
      </w:r>
    </w:p>
    <w:p>
      <w:pPr>
        <w:jc w:val="both"/>
      </w:pPr>
      <w:r>
        <w:t xml:space="preserve">Bu Politikaya aykırılık, iş sözleşmesi ve Şirket disiplin yönetmeliği hükümlerine tabidir. Gizli bilgi veya kişisel verinin yetkisiz araca girilmesi hâlinde çalışan, durumu gecikmeksizin [BİLGİ GÜVENLİĞİ BİRİMİ]’ne bildirir. Zamanında yapılan bildirim, disiplin değerlendirmesinde lehe dikkate alınır.</w:t>
      </w:r>
    </w:p>
    <w:p>
      <w:pPr>
        <w:pStyle w:val="Heading1"/>
      </w:pPr>
      <w:r>
        <w:t xml:space="preserve">9. Yürürlük ve tebliğ</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067"/>
        <w:gridCol w:w="5953"/>
      </w:tblGrid>
      <w:tr>
        <w:trPr>
          <w:tblHeader/>
        </w:trPr>
        <w:tc>
          <w:tcPr>
            <w:tcW w:type="dxa" w:w="3067"/>
            <w:shd w:fill="0B2545" w:val="clear"/>
            <w:tcMar>
              <w:top w:type="dxa" w:w="90"/>
              <w:left w:type="dxa" w:w="120"/>
              <w:bottom w:type="dxa" w:w="90"/>
              <w:right w:type="dxa" w:w="120"/>
            </w:tcMar>
          </w:tcPr>
          <w:p>
            <w:pPr>
              <w:spacing w:after="20"/>
              <w:jc w:val="left"/>
            </w:pPr>
            <w:r>
              <w:rPr>
                <w:b/>
                <w:bCs/>
                <w:color w:val="FFFFFF"/>
                <w:sz w:val="18"/>
                <w:szCs w:val="18"/>
              </w:rPr>
              <w:t xml:space="preserve">Alan</w:t>
            </w:r>
          </w:p>
        </w:tc>
        <w:tc>
          <w:tcPr>
            <w:tcW w:type="dxa" w:w="5953"/>
            <w:shd w:fill="0B2545" w:val="clear"/>
            <w:tcMar>
              <w:top w:type="dxa" w:w="90"/>
              <w:left w:type="dxa" w:w="120"/>
              <w:bottom w:type="dxa" w:w="90"/>
              <w:right w:type="dxa" w:w="120"/>
            </w:tcMar>
          </w:tcPr>
          <w:p>
            <w:pPr>
              <w:spacing w:after="20"/>
              <w:jc w:val="left"/>
            </w:pPr>
            <w:r>
              <w:rPr>
                <w:b/>
                <w:bCs/>
                <w:color w:val="FFFFFF"/>
                <w:sz w:val="18"/>
                <w:szCs w:val="18"/>
              </w:rPr>
              <w:t xml:space="preserve">Bilgi</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Politika sahibi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[BİRİM / UNVAN]</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Onaylayan</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[AD SOYAD / UNVAN]</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Yürürlük tarihi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[GG.AA.YYYY]</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Tebliğ yöntemi</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[ıslak imzalı tebellüğ / KEP / İK sistemi onayı]</w:t>
            </w:r>
          </w:p>
        </w:tc>
      </w:tr>
      <w:tr>
        <w:tc>
          <w:tcPr>
            <w:tcW w:type="dxa" w:w="3067"/>
            <w:shd w:fill="FFFFFF" w:val="clear"/>
            <w:tcMar>
              <w:top w:type="dxa" w:w="90"/>
              <w:left w:type="dxa" w:w="120"/>
              <w:bottom w:type="dxa" w:w="90"/>
              <w:right w:type="dxa" w:w="120"/>
            </w:tcMar>
          </w:tcPr>
          <w:p>
            <w:pPr>
              <w:spacing w:after="20"/>
              <w:jc w:val="left"/>
            </w:pPr>
            <w:r>
              <w:rPr>
                <w:b w:val="false"/>
                <w:bCs w:val="false"/>
                <w:color w:val="1A1A1A"/>
                <w:sz w:val="18"/>
                <w:szCs w:val="18"/>
              </w:rPr>
              <w:t xml:space="preserve">Gözden geçirme sıklığı</w:t>
            </w:r>
          </w:p>
        </w:tc>
        <w:tc>
          <w:tcPr>
            <w:tcW w:type="dxa" w:w="59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Yılda en az bir kez</w:t>
            </w:r>
          </w:p>
        </w:tc>
      </w:tr>
    </w:tbl>
    <w:p>
      <w:pPr>
        <w:pStyle w:val="Heading1"/>
      </w:pPr>
      <w:r>
        <w:t xml:space="preserve">EK-1 — Onaylı Araç Listesi</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984"/>
        <w:gridCol w:w="1353"/>
        <w:gridCol w:w="2345"/>
        <w:gridCol w:w="1984"/>
        <w:gridCol w:w="1354"/>
      </w:tblGrid>
      <w:tr>
        <w:trPr>
          <w:tblHeader/>
        </w:trPr>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Araç</w:t>
            </w:r>
          </w:p>
        </w:tc>
        <w:tc>
          <w:tcPr>
            <w:tcW w:type="dxa" w:w="1353"/>
            <w:shd w:fill="0B2545" w:val="clear"/>
            <w:tcMar>
              <w:top w:type="dxa" w:w="90"/>
              <w:left w:type="dxa" w:w="120"/>
              <w:bottom w:type="dxa" w:w="90"/>
              <w:right w:type="dxa" w:w="120"/>
            </w:tcMar>
          </w:tcPr>
          <w:p>
            <w:pPr>
              <w:spacing w:after="20"/>
              <w:jc w:val="left"/>
            </w:pPr>
            <w:r>
              <w:rPr>
                <w:b/>
                <w:bCs/>
                <w:color w:val="FFFFFF"/>
                <w:sz w:val="18"/>
                <w:szCs w:val="18"/>
              </w:rPr>
              <w:t xml:space="preserve">Hesap türü</w:t>
            </w:r>
          </w:p>
        </w:tc>
        <w:tc>
          <w:tcPr>
            <w:tcW w:type="dxa" w:w="2345"/>
            <w:shd w:fill="0B2545" w:val="clear"/>
            <w:tcMar>
              <w:top w:type="dxa" w:w="90"/>
              <w:left w:type="dxa" w:w="120"/>
              <w:bottom w:type="dxa" w:w="90"/>
              <w:right w:type="dxa" w:w="120"/>
            </w:tcMar>
          </w:tcPr>
          <w:p>
            <w:pPr>
              <w:spacing w:after="20"/>
              <w:jc w:val="left"/>
            </w:pPr>
            <w:r>
              <w:rPr>
                <w:b/>
                <w:bCs/>
                <w:color w:val="FFFFFF"/>
                <w:sz w:val="18"/>
                <w:szCs w:val="18"/>
              </w:rPr>
              <w:t xml:space="preserve">İzin verilen veri</w:t>
            </w:r>
          </w:p>
        </w:tc>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Yasak veri</w:t>
            </w:r>
          </w:p>
        </w:tc>
        <w:tc>
          <w:tcPr>
            <w:tcW w:type="dxa" w:w="1354"/>
            <w:shd w:fill="0B2545" w:val="clear"/>
            <w:tcMar>
              <w:top w:type="dxa" w:w="90"/>
              <w:left w:type="dxa" w:w="120"/>
              <w:bottom w:type="dxa" w:w="90"/>
              <w:right w:type="dxa" w:w="120"/>
            </w:tcMar>
          </w:tcPr>
          <w:p>
            <w:pPr>
              <w:spacing w:after="20"/>
              <w:jc w:val="left"/>
            </w:pPr>
            <w:r>
              <w:rPr>
                <w:b/>
                <w:bCs/>
                <w:color w:val="FFFFFF"/>
                <w:sz w:val="18"/>
                <w:szCs w:val="18"/>
              </w:rPr>
              <w:t xml:space="preserve">Onay tarihi</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[örn. Kurumsal ChatGPT]</w:t>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[Kurumsal]</w:t>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[kamuya açık bilgi, iç taslak]</w:t>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[müşteri verisi, kişisel veri]</w:t>
            </w:r>
          </w:p>
        </w:tc>
        <w:tc>
          <w:tcPr>
            <w:tcW w:type="dxa" w:w="1354"/>
            <w:shd w:fill="FFFFFF" w:val="clear"/>
            <w:tcMar>
              <w:top w:type="dxa" w:w="90"/>
              <w:left w:type="dxa" w:w="120"/>
              <w:bottom w:type="dxa" w:w="90"/>
              <w:right w:type="dxa" w:w="120"/>
            </w:tcMar>
          </w:tcPr>
          <w:p>
            <w:pPr>
              <w:spacing w:after="20"/>
              <w:jc w:val="left"/>
            </w:pPr>
            <w:r>
              <w:rPr>
                <w:b w:val="false"/>
                <w:bCs w:val="false"/>
                <w:color w:val="1A1A1A"/>
                <w:sz w:val="18"/>
                <w:szCs w:val="18"/>
              </w:rPr>
              <w:t xml:space="preserve">[GG.AA.YYYY]</w:t>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r>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2345"/>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bl>
    <w:p>
      <w:pPr>
        <w:pStyle w:val="Heading1"/>
      </w:pPr>
      <w:r>
        <w:t xml:space="preserve">EK-2 — Editoryal Onay Kaydı</w:t>
      </w:r>
    </w:p>
    <w:p>
      <w:pPr>
        <w:jc w:val="both"/>
      </w:pPr>
      <w:r>
        <w:t xml:space="preserve">Kamuoyunu bilgilendiren, yapay zeka ile üretilmiş metinlerde AI Act m. 50(4) istisnasından yararlanabilmek için her yayın öncesinde doldurulur. Bu kayıt tutulmadıysa, metne ifşa ibaresi eklenmesi zorunludur.</w:t>
      </w:r>
    </w:p>
    <w:p>
      <w:pPr>
        <w:spacing w:after="120"/>
      </w:pP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804"/>
        <w:gridCol w:w="1353"/>
        <w:gridCol w:w="1263"/>
        <w:gridCol w:w="1263"/>
        <w:gridCol w:w="1984"/>
        <w:gridCol w:w="1353"/>
      </w:tblGrid>
      <w:tr>
        <w:trPr>
          <w:tblHeader/>
        </w:trPr>
        <w:tc>
          <w:tcPr>
            <w:tcW w:type="dxa" w:w="1804"/>
            <w:shd w:fill="0B2545" w:val="clear"/>
            <w:tcMar>
              <w:top w:type="dxa" w:w="90"/>
              <w:left w:type="dxa" w:w="120"/>
              <w:bottom w:type="dxa" w:w="90"/>
              <w:right w:type="dxa" w:w="120"/>
            </w:tcMar>
          </w:tcPr>
          <w:p>
            <w:pPr>
              <w:spacing w:after="20"/>
              <w:jc w:val="left"/>
            </w:pPr>
            <w:r>
              <w:rPr>
                <w:b/>
                <w:bCs/>
                <w:color w:val="FFFFFF"/>
                <w:sz w:val="18"/>
                <w:szCs w:val="18"/>
              </w:rPr>
              <w:t xml:space="preserve">Yayın başlığı</w:t>
            </w:r>
          </w:p>
        </w:tc>
        <w:tc>
          <w:tcPr>
            <w:tcW w:type="dxa" w:w="1353"/>
            <w:shd w:fill="0B2545" w:val="clear"/>
            <w:tcMar>
              <w:top w:type="dxa" w:w="90"/>
              <w:left w:type="dxa" w:w="120"/>
              <w:bottom w:type="dxa" w:w="90"/>
              <w:right w:type="dxa" w:w="120"/>
            </w:tcMar>
          </w:tcPr>
          <w:p>
            <w:pPr>
              <w:spacing w:after="20"/>
              <w:jc w:val="left"/>
            </w:pPr>
            <w:r>
              <w:rPr>
                <w:b/>
                <w:bCs/>
                <w:color w:val="FFFFFF"/>
                <w:sz w:val="18"/>
                <w:szCs w:val="18"/>
              </w:rPr>
              <w:t xml:space="preserve">Kullanılan araç</w:t>
            </w:r>
          </w:p>
        </w:tc>
        <w:tc>
          <w:tcPr>
            <w:tcW w:type="dxa" w:w="1263"/>
            <w:shd w:fill="0B2545" w:val="clear"/>
            <w:tcMar>
              <w:top w:type="dxa" w:w="90"/>
              <w:left w:type="dxa" w:w="120"/>
              <w:bottom w:type="dxa" w:w="90"/>
              <w:right w:type="dxa" w:w="120"/>
            </w:tcMar>
          </w:tcPr>
          <w:p>
            <w:pPr>
              <w:spacing w:after="20"/>
              <w:jc w:val="left"/>
            </w:pPr>
            <w:r>
              <w:rPr>
                <w:b/>
                <w:bCs/>
                <w:color w:val="FFFFFF"/>
                <w:sz w:val="18"/>
                <w:szCs w:val="18"/>
              </w:rPr>
              <w:t xml:space="preserve">İnceleyen</w:t>
            </w:r>
          </w:p>
        </w:tc>
        <w:tc>
          <w:tcPr>
            <w:tcW w:type="dxa" w:w="1263"/>
            <w:shd w:fill="0B2545" w:val="clear"/>
            <w:tcMar>
              <w:top w:type="dxa" w:w="90"/>
              <w:left w:type="dxa" w:w="120"/>
              <w:bottom w:type="dxa" w:w="90"/>
              <w:right w:type="dxa" w:w="120"/>
            </w:tcMar>
          </w:tcPr>
          <w:p>
            <w:pPr>
              <w:spacing w:after="20"/>
              <w:jc w:val="left"/>
            </w:pPr>
            <w:r>
              <w:rPr>
                <w:b/>
                <w:bCs/>
                <w:color w:val="FFFFFF"/>
                <w:sz w:val="18"/>
                <w:szCs w:val="18"/>
              </w:rPr>
              <w:t xml:space="preserve">İnceleme tarihi</w:t>
            </w:r>
          </w:p>
        </w:tc>
        <w:tc>
          <w:tcPr>
            <w:tcW w:type="dxa" w:w="1984"/>
            <w:shd w:fill="0B2545" w:val="clear"/>
            <w:tcMar>
              <w:top w:type="dxa" w:w="90"/>
              <w:left w:type="dxa" w:w="120"/>
              <w:bottom w:type="dxa" w:w="90"/>
              <w:right w:type="dxa" w:w="120"/>
            </w:tcMar>
          </w:tcPr>
          <w:p>
            <w:pPr>
              <w:spacing w:after="20"/>
              <w:jc w:val="left"/>
            </w:pPr>
            <w:r>
              <w:rPr>
                <w:b/>
                <w:bCs/>
                <w:color w:val="FFFFFF"/>
                <w:sz w:val="18"/>
                <w:szCs w:val="18"/>
              </w:rPr>
              <w:t xml:space="preserve">Yapılan değişiklik özeti</w:t>
            </w:r>
          </w:p>
        </w:tc>
        <w:tc>
          <w:tcPr>
            <w:tcW w:type="dxa" w:w="1353"/>
            <w:shd w:fill="0B2545" w:val="clear"/>
            <w:tcMar>
              <w:top w:type="dxa" w:w="90"/>
              <w:left w:type="dxa" w:w="120"/>
              <w:bottom w:type="dxa" w:w="90"/>
              <w:right w:type="dxa" w:w="120"/>
            </w:tcMar>
          </w:tcPr>
          <w:p>
            <w:pPr>
              <w:spacing w:after="20"/>
              <w:jc w:val="left"/>
            </w:pPr>
            <w:r>
              <w:rPr>
                <w:b/>
                <w:bCs/>
                <w:color w:val="FFFFFF"/>
                <w:sz w:val="18"/>
                <w:szCs w:val="18"/>
              </w:rPr>
              <w:t xml:space="preserve">Editoryal sorumluluk</w:t>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r>
        <w:tc>
          <w:tcPr>
            <w:tcW w:type="dxa" w:w="180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26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984"/>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c>
          <w:tcPr>
            <w:tcW w:type="dxa" w:w="1353"/>
            <w:shd w:fill="FFFFFF" w:val="clear"/>
            <w:tcMar>
              <w:top w:type="dxa" w:w="90"/>
              <w:left w:type="dxa" w:w="120"/>
              <w:bottom w:type="dxa" w:w="90"/>
              <w:right w:type="dxa" w:w="120"/>
            </w:tcMar>
          </w:tcPr>
          <w:p>
            <w:pPr>
              <w:spacing w:after="20"/>
              <w:jc w:val="left"/>
            </w:pPr>
            <w:r>
              <w:rPr>
                <w:b w:val="false"/>
                <w:bCs w:val="false"/>
                <w:color w:val="1A1A1A"/>
                <w:sz w:val="18"/>
                <w:szCs w:val="18"/>
              </w:rPr>
              <w:t xml:space="preserve"/>
            </w:r>
          </w:p>
        </w:tc>
      </w:tr>
    </w:tbl>
    <w:p>
      <w:pPr>
        <w:pStyle w:val="Heading1"/>
      </w:pPr>
      <w:r>
        <w:t xml:space="preserve">Yasal Uyarı</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020"/>
      </w:tblGrid>
      <w:tr>
        <w:tc>
          <w:tcPr>
            <w:tcW w:type="dxa" w:w="9020"/>
            <w:tcBorders>
              <w:top w:val="none"/>
              <w:left w:val="single" w:color="5A6472" w:sz="24"/>
              <w:bottom w:val="none"/>
              <w:right w:val="none"/>
            </w:tcBorders>
            <w:shd w:fill="F7F7F9" w:val="clear"/>
            <w:tcMar>
              <w:top w:type="dxa" w:w="160"/>
              <w:left w:type="dxa" w:w="200"/>
              <w:bottom w:type="dxa" w:w="160"/>
              <w:right w:type="dxa" w:w="200"/>
            </w:tcMar>
          </w:tcPr>
          <w:p>
            <w:pPr>
              <w:jc w:val="both"/>
            </w:pPr>
            <w:r>
              <w:rPr>
                <w:b/>
                <w:bCs/>
                <w:i w:val="false"/>
                <w:iCs w:val="false"/>
              </w:rPr>
              <w:t xml:space="preserve">Yasal uyarı. </w:t>
            </w:r>
            <w:r>
              <w:rPr>
                <w:b w:val="false"/>
                <w:bCs w:val="false"/>
                <w:i w:val="false"/>
                <w:iCs w:val="false"/>
              </w:rPr>
              <w:t xml:space="preserve">Bu belge, AB Yapay Zeka Tüzüğü (Regulation (EU) 2024/1689) kapsamındaki şeffaflık yükümlülüklerine ilişkin genel nitelikli bir uyum dokümantasyon şablonudur. Belirli bir olay, sistem veya şirket bakımından hukuki mütalaa, avukatlık hizmeti veya vekâlet ilişkisi teşkil etmez. Şablonlar kullanılmadan önce şirketinizin fiili sistem envanterine göre uyarlanmalı ve yetkili bir hukuk müşaviri tarafından gözden geçirilmelidir. Mevzuat, Digital Omnibus değişiklikleri dâhil olmak üzere gelişmeye devam etmektedir; nihai metinler Avrupa Birliği Resmî Gazetesi (Official Journal) üzerinden teyit edilmelidir.</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472"/>
        <w:sz w:val="15"/>
        <w:szCs w:val="15"/>
      </w:rPr>
      <w:t xml:space="preserve">AI Uyum ve Yönetişim · Sürüm 1.0 (Temmuz 2026) · Sayfa </w:t>
    </w:r>
    <w:r>
      <w:rPr>
        <w:color w:val="5A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color w:val="5A6472"/>
        <w:sz w:val="15"/>
        <w:szCs w:val="15"/>
      </w:rPr>
      <w:t xml:space="preserve">AIA-05 · Çalışan Yapay Zeka Kullanım Politikası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abstractNum w:abstractNumId="3" w15:restartNumberingAfterBreak="0">
    <w:multiLevelType w:val="hybridMultilevel"/>
    <w:lvl w:ilvl="0" w15:tentative="1">
      <w:start w:val="1"/>
      <w:numFmt w:val="decimal"/>
      <w:lvlText w:val="%1."/>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B2545" w:sz="8" w:space="6"/>
      </w:pBdr>
      <w:spacing w:after="180" w:before="400"/>
    </w:pPr>
    <w:rPr>
      <w:rFonts w:ascii="Arial" w:cs="Arial" w:eastAsia="Arial" w:hAnsi="Arial"/>
      <w:b/>
      <w:bCs/>
      <w:color w:val="0B2545"/>
      <w:sz w:val="30"/>
      <w:szCs w:val="30"/>
    </w:rPr>
  </w:style>
  <w:style w:type="paragraph" w:styleId="Heading2">
    <w:name w:val="Heading 2"/>
    <w:basedOn w:val="Normal"/>
    <w:next w:val="Normal"/>
    <w:qFormat/>
    <w:pPr>
      <w:spacing w:after="120" w:before="300"/>
    </w:pPr>
    <w:rPr>
      <w:rFonts w:ascii="Arial" w:cs="Arial" w:eastAsia="Arial" w:hAnsi="Arial"/>
      <w:b/>
      <w:bCs/>
      <w:color w:val="0B2545"/>
      <w:sz w:val="24"/>
      <w:szCs w:val="24"/>
    </w:rPr>
  </w:style>
  <w:style w:type="paragraph" w:styleId="Heading3">
    <w:name w:val="Heading 3"/>
    <w:basedOn w:val="Normal"/>
    <w:next w:val="Normal"/>
    <w:qFormat/>
    <w:pPr>
      <w:spacing w:after="90" w:before="220"/>
    </w:pPr>
    <w:rPr>
      <w:rFonts w:ascii="Arial" w:cs="Arial" w:eastAsia="Arial" w:hAnsi="Arial"/>
      <w:b/>
      <w:bCs/>
      <w:color w:val="B3122E"/>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2026-07-30T18:02:48.405Z</dcterms:created>
  <dcterms:modified xsi:type="dcterms:W3CDTF">2026-07-30T18:02:48.405Z</dcterms:modified>
</cp:coreProperties>
</file>

<file path=docProps/custom.xml><?xml version="1.0" encoding="utf-8"?>
<Properties xmlns="http://schemas.openxmlformats.org/officeDocument/2006/custom-properties" xmlns:vt="http://schemas.openxmlformats.org/officeDocument/2006/docPropsVTypes"/>
</file>